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D1" w:rsidRDefault="009A69D1" w:rsidP="009A69D1">
      <w:pPr>
        <w:jc w:val="center"/>
        <w:rPr>
          <w:b/>
          <w:sz w:val="28"/>
          <w:szCs w:val="28"/>
          <w:u w:val="single"/>
        </w:rPr>
      </w:pPr>
      <w:r>
        <w:rPr>
          <w:b/>
          <w:sz w:val="28"/>
          <w:szCs w:val="28"/>
          <w:u w:val="single"/>
        </w:rPr>
        <w:t xml:space="preserve">ILLINOIS COMMERCE COMMISSION </w:t>
      </w:r>
    </w:p>
    <w:p w:rsidR="009A69D1" w:rsidRDefault="009A69D1" w:rsidP="009A69D1">
      <w:pPr>
        <w:jc w:val="center"/>
        <w:rPr>
          <w:b/>
          <w:sz w:val="28"/>
          <w:szCs w:val="28"/>
          <w:u w:val="single"/>
        </w:rPr>
      </w:pPr>
      <w:r>
        <w:rPr>
          <w:b/>
          <w:sz w:val="28"/>
          <w:szCs w:val="28"/>
          <w:u w:val="single"/>
        </w:rPr>
        <w:t>COVID RESPONSE</w:t>
      </w:r>
    </w:p>
    <w:p w:rsidR="00A00D19" w:rsidRDefault="000963BF">
      <w:pPr>
        <w:rPr>
          <w:b/>
          <w:sz w:val="28"/>
          <w:szCs w:val="28"/>
          <w:u w:val="single"/>
        </w:rPr>
      </w:pPr>
      <w:r w:rsidRPr="000963BF">
        <w:rPr>
          <w:b/>
          <w:sz w:val="28"/>
          <w:szCs w:val="28"/>
          <w:u w:val="single"/>
        </w:rPr>
        <w:t>SUMMARY OF LARGE UTILITY/STAFF/JOINT CONSUMER PARTY STIPULATION</w:t>
      </w:r>
    </w:p>
    <w:p w:rsidR="000963BF" w:rsidRDefault="000963BF">
      <w:pPr>
        <w:rPr>
          <w:b/>
          <w:sz w:val="28"/>
          <w:szCs w:val="28"/>
          <w:u w:val="single"/>
        </w:rPr>
      </w:pPr>
    </w:p>
    <w:p w:rsidR="00BB3EA1" w:rsidRPr="00BB3EA1" w:rsidRDefault="000963BF" w:rsidP="00BB3EA1">
      <w:pPr>
        <w:rPr>
          <w:sz w:val="28"/>
          <w:szCs w:val="28"/>
        </w:rPr>
      </w:pPr>
      <w:r w:rsidRPr="00BB3EA1">
        <w:rPr>
          <w:sz w:val="28"/>
          <w:szCs w:val="28"/>
          <w:u w:val="single"/>
        </w:rPr>
        <w:t xml:space="preserve">Stipulated Moratorium Period </w:t>
      </w:r>
      <w:r w:rsidR="00F82438" w:rsidRPr="00BB3EA1">
        <w:rPr>
          <w:sz w:val="28"/>
          <w:szCs w:val="28"/>
          <w:u w:val="single"/>
        </w:rPr>
        <w:t xml:space="preserve">(SMP) </w:t>
      </w:r>
    </w:p>
    <w:p w:rsidR="000963BF" w:rsidRPr="00BB3EA1" w:rsidRDefault="00BB3EA1" w:rsidP="00BB3EA1">
      <w:pPr>
        <w:pStyle w:val="ListParagraph"/>
        <w:numPr>
          <w:ilvl w:val="0"/>
          <w:numId w:val="4"/>
        </w:numPr>
        <w:rPr>
          <w:sz w:val="28"/>
          <w:szCs w:val="28"/>
        </w:rPr>
      </w:pPr>
      <w:r w:rsidRPr="00BB3EA1">
        <w:rPr>
          <w:sz w:val="28"/>
          <w:szCs w:val="28"/>
        </w:rPr>
        <w:t>B</w:t>
      </w:r>
      <w:r w:rsidR="000963BF" w:rsidRPr="00BB3EA1">
        <w:rPr>
          <w:sz w:val="28"/>
          <w:szCs w:val="28"/>
        </w:rPr>
        <w:t>ecause of the uncertainty with how long the state of emergency will go, we all agreed on ending the moratorium for purposes of this agreement to the earlier of 1) when all Illinois regions move to Phase 4, or 2) August 1</w:t>
      </w:r>
      <w:r w:rsidR="000963BF" w:rsidRPr="00BB3EA1">
        <w:rPr>
          <w:sz w:val="28"/>
          <w:szCs w:val="28"/>
          <w:vertAlign w:val="superscript"/>
        </w:rPr>
        <w:t>st</w:t>
      </w:r>
      <w:r w:rsidR="000963BF" w:rsidRPr="00BB3EA1">
        <w:rPr>
          <w:sz w:val="28"/>
          <w:szCs w:val="28"/>
        </w:rPr>
        <w:t>.  If any region backtracks after that, we will jointly request a status hearing to assess whether the terms need to be revised.</w:t>
      </w:r>
    </w:p>
    <w:p w:rsidR="00B27715" w:rsidRPr="00400610" w:rsidRDefault="00B27715" w:rsidP="00B27715">
      <w:pPr>
        <w:pStyle w:val="ListParagraph"/>
        <w:numPr>
          <w:ilvl w:val="1"/>
          <w:numId w:val="1"/>
        </w:numPr>
        <w:rPr>
          <w:sz w:val="28"/>
          <w:szCs w:val="28"/>
        </w:rPr>
      </w:pPr>
      <w:r w:rsidRPr="00B27715">
        <w:rPr>
          <w:i/>
          <w:sz w:val="28"/>
          <w:szCs w:val="28"/>
          <w:u w:val="single"/>
        </w:rPr>
        <w:t>Transition Grace Period</w:t>
      </w:r>
      <w:r w:rsidR="00FE7226">
        <w:rPr>
          <w:i/>
          <w:sz w:val="28"/>
          <w:szCs w:val="28"/>
          <w:u w:val="single"/>
        </w:rPr>
        <w:t xml:space="preserve"> (TGP)</w:t>
      </w:r>
      <w:r>
        <w:t xml:space="preserve"> </w:t>
      </w:r>
      <w:r w:rsidRPr="00B27715">
        <w:rPr>
          <w:sz w:val="28"/>
          <w:szCs w:val="28"/>
        </w:rPr>
        <w:t>= the 60-day period immediately following the day the Stipulated Moratorium Period ends</w:t>
      </w:r>
    </w:p>
    <w:p w:rsidR="00CD2E99" w:rsidRPr="009B5F7A" w:rsidRDefault="00B27715" w:rsidP="009B5F7A">
      <w:pPr>
        <w:rPr>
          <w:sz w:val="28"/>
          <w:szCs w:val="28"/>
          <w:u w:val="single"/>
        </w:rPr>
      </w:pPr>
      <w:r w:rsidRPr="009B5F7A">
        <w:rPr>
          <w:sz w:val="28"/>
          <w:szCs w:val="28"/>
          <w:u w:val="single"/>
        </w:rPr>
        <w:t xml:space="preserve">Temporary, </w:t>
      </w:r>
      <w:r w:rsidR="00CD2E99" w:rsidRPr="009B5F7A">
        <w:rPr>
          <w:sz w:val="28"/>
          <w:szCs w:val="28"/>
          <w:u w:val="single"/>
        </w:rPr>
        <w:t>Revised Credit and Collection Pr</w:t>
      </w:r>
      <w:r w:rsidRPr="009B5F7A">
        <w:rPr>
          <w:sz w:val="28"/>
          <w:szCs w:val="28"/>
          <w:u w:val="single"/>
        </w:rPr>
        <w:t>ocedures</w:t>
      </w:r>
    </w:p>
    <w:p w:rsidR="000963BF" w:rsidRDefault="00B922CB" w:rsidP="00CD2E99">
      <w:pPr>
        <w:pStyle w:val="ListParagraph"/>
        <w:numPr>
          <w:ilvl w:val="1"/>
          <w:numId w:val="1"/>
        </w:numPr>
        <w:rPr>
          <w:sz w:val="28"/>
          <w:szCs w:val="28"/>
        </w:rPr>
      </w:pPr>
      <w:r>
        <w:rPr>
          <w:sz w:val="28"/>
          <w:szCs w:val="28"/>
        </w:rPr>
        <w:t>S</w:t>
      </w:r>
      <w:r w:rsidR="00CD2E99" w:rsidRPr="00B27715">
        <w:rPr>
          <w:sz w:val="28"/>
          <w:szCs w:val="28"/>
        </w:rPr>
        <w:t>uspension on disconnections for nonpayment and late fees for nonpayment continue</w:t>
      </w:r>
      <w:r w:rsidR="00B27715">
        <w:rPr>
          <w:sz w:val="28"/>
          <w:szCs w:val="28"/>
        </w:rPr>
        <w:t>s</w:t>
      </w:r>
      <w:r w:rsidR="00CD2E99" w:rsidRPr="00B27715">
        <w:rPr>
          <w:sz w:val="28"/>
          <w:szCs w:val="28"/>
        </w:rPr>
        <w:t xml:space="preserve"> through the Stipulated</w:t>
      </w:r>
      <w:r w:rsidR="00FE7226">
        <w:rPr>
          <w:sz w:val="28"/>
          <w:szCs w:val="28"/>
        </w:rPr>
        <w:t xml:space="preserve"> Moratorium Period plus 30 days.  Disconnection notices may be </w:t>
      </w:r>
      <w:r w:rsidR="00C0608E">
        <w:rPr>
          <w:sz w:val="28"/>
          <w:szCs w:val="28"/>
        </w:rPr>
        <w:t>sent out at the end of the SMP (30 days before disconnections may start).</w:t>
      </w:r>
    </w:p>
    <w:p w:rsidR="00B27715" w:rsidRPr="00B27715" w:rsidRDefault="00B27715" w:rsidP="00CD2E99">
      <w:pPr>
        <w:pStyle w:val="ListParagraph"/>
        <w:numPr>
          <w:ilvl w:val="1"/>
          <w:numId w:val="1"/>
        </w:numPr>
        <w:rPr>
          <w:sz w:val="28"/>
          <w:szCs w:val="28"/>
        </w:rPr>
      </w:pPr>
      <w:r>
        <w:rPr>
          <w:sz w:val="28"/>
          <w:szCs w:val="28"/>
        </w:rPr>
        <w:t>Communications</w:t>
      </w:r>
    </w:p>
    <w:p w:rsidR="00B27715" w:rsidRDefault="00B27715" w:rsidP="00B27715">
      <w:pPr>
        <w:pStyle w:val="ListParagraph"/>
        <w:numPr>
          <w:ilvl w:val="2"/>
          <w:numId w:val="1"/>
        </w:numPr>
        <w:rPr>
          <w:sz w:val="24"/>
          <w:szCs w:val="24"/>
        </w:rPr>
      </w:pPr>
      <w:r w:rsidRPr="00E153A2">
        <w:rPr>
          <w:sz w:val="24"/>
          <w:szCs w:val="24"/>
        </w:rPr>
        <w:t>Utility will provide the communications to all residential customers with past due balances on their accounts regarding payment assistance and DPAs within 30 days of the final order (we’d prefer 14 days)</w:t>
      </w:r>
      <w:r w:rsidR="00F539F6">
        <w:rPr>
          <w:sz w:val="24"/>
          <w:szCs w:val="24"/>
        </w:rPr>
        <w:t>.</w:t>
      </w:r>
    </w:p>
    <w:p w:rsidR="00EB7DD4" w:rsidRPr="00E153A2" w:rsidRDefault="00EB7DD4" w:rsidP="00EB7DD4">
      <w:pPr>
        <w:pStyle w:val="ListParagraph"/>
        <w:numPr>
          <w:ilvl w:val="3"/>
          <w:numId w:val="1"/>
        </w:numPr>
        <w:rPr>
          <w:sz w:val="24"/>
          <w:szCs w:val="24"/>
        </w:rPr>
      </w:pPr>
      <w:r>
        <w:rPr>
          <w:sz w:val="24"/>
          <w:szCs w:val="24"/>
        </w:rPr>
        <w:t>Email if express permission or US Mail</w:t>
      </w:r>
    </w:p>
    <w:p w:rsidR="00B27715" w:rsidRPr="00E153A2" w:rsidRDefault="007625D9" w:rsidP="00B27715">
      <w:pPr>
        <w:pStyle w:val="ListParagraph"/>
        <w:numPr>
          <w:ilvl w:val="2"/>
          <w:numId w:val="1"/>
        </w:numPr>
        <w:rPr>
          <w:sz w:val="24"/>
          <w:szCs w:val="24"/>
        </w:rPr>
      </w:pPr>
      <w:r>
        <w:rPr>
          <w:sz w:val="24"/>
          <w:szCs w:val="24"/>
        </w:rPr>
        <w:t>E</w:t>
      </w:r>
      <w:r w:rsidR="00B27715" w:rsidRPr="00E153A2">
        <w:rPr>
          <w:sz w:val="24"/>
          <w:szCs w:val="24"/>
        </w:rPr>
        <w:t>ach Utility will display the temporary credit and collections policies including the revised DPA terms information about reconnections for Requesting Customers on its website</w:t>
      </w:r>
      <w:r w:rsidR="00F539F6">
        <w:rPr>
          <w:sz w:val="24"/>
          <w:szCs w:val="24"/>
        </w:rPr>
        <w:t>.</w:t>
      </w:r>
    </w:p>
    <w:p w:rsidR="0015570C" w:rsidRDefault="00B27715" w:rsidP="00B27715">
      <w:pPr>
        <w:pStyle w:val="ListParagraph"/>
        <w:numPr>
          <w:ilvl w:val="2"/>
          <w:numId w:val="1"/>
        </w:numPr>
        <w:rPr>
          <w:sz w:val="24"/>
          <w:szCs w:val="24"/>
        </w:rPr>
      </w:pPr>
      <w:r w:rsidRPr="00E153A2">
        <w:rPr>
          <w:sz w:val="24"/>
          <w:szCs w:val="24"/>
        </w:rPr>
        <w:t xml:space="preserve">Each Utility shall issue a press release (to be reviewed by ICC CSD) and post information on its website encouraging customers who were disconnected for nonpayment prior to the Moratorium Period and whom the Utility has not already reconnected (Requesting Customers) to contact the Utility to discuss reconnection options and customer assistance plans. </w:t>
      </w:r>
    </w:p>
    <w:p w:rsidR="00B27715" w:rsidRPr="00E153A2" w:rsidRDefault="0015570C" w:rsidP="00B27715">
      <w:pPr>
        <w:pStyle w:val="ListParagraph"/>
        <w:numPr>
          <w:ilvl w:val="2"/>
          <w:numId w:val="1"/>
        </w:numPr>
        <w:rPr>
          <w:sz w:val="24"/>
          <w:szCs w:val="24"/>
        </w:rPr>
      </w:pPr>
      <w:r>
        <w:rPr>
          <w:sz w:val="24"/>
          <w:szCs w:val="24"/>
        </w:rPr>
        <w:lastRenderedPageBreak/>
        <w:t>N</w:t>
      </w:r>
      <w:r w:rsidR="00B27715" w:rsidRPr="00E153A2">
        <w:rPr>
          <w:sz w:val="24"/>
          <w:szCs w:val="24"/>
        </w:rPr>
        <w:t>o later than thirty (30) calendar days after the Order is issued in this Proceeding, the utilities will send letters with the same information to Requesting Customers.</w:t>
      </w:r>
    </w:p>
    <w:p w:rsidR="00B27715" w:rsidRPr="00B27715" w:rsidRDefault="00B27715" w:rsidP="00B27715">
      <w:pPr>
        <w:pStyle w:val="ListParagraph"/>
        <w:numPr>
          <w:ilvl w:val="1"/>
          <w:numId w:val="1"/>
        </w:numPr>
        <w:rPr>
          <w:sz w:val="28"/>
          <w:szCs w:val="28"/>
        </w:rPr>
      </w:pPr>
      <w:r w:rsidRPr="00B27715">
        <w:rPr>
          <w:sz w:val="28"/>
          <w:szCs w:val="28"/>
        </w:rPr>
        <w:t>Reconnection</w:t>
      </w:r>
    </w:p>
    <w:p w:rsidR="00A07836" w:rsidRDefault="00B27715" w:rsidP="00B27715">
      <w:pPr>
        <w:pStyle w:val="ListParagraph"/>
        <w:numPr>
          <w:ilvl w:val="2"/>
          <w:numId w:val="1"/>
        </w:numPr>
        <w:rPr>
          <w:sz w:val="24"/>
          <w:szCs w:val="24"/>
        </w:rPr>
      </w:pPr>
      <w:r w:rsidRPr="00E153A2">
        <w:rPr>
          <w:sz w:val="24"/>
          <w:szCs w:val="24"/>
        </w:rPr>
        <w:t xml:space="preserve">Reconnections will be completed for all </w:t>
      </w:r>
      <w:r w:rsidR="00EB7DD4">
        <w:rPr>
          <w:sz w:val="24"/>
          <w:szCs w:val="24"/>
        </w:rPr>
        <w:t>Previously Disconnected</w:t>
      </w:r>
      <w:r w:rsidRPr="00E153A2">
        <w:rPr>
          <w:sz w:val="24"/>
          <w:szCs w:val="24"/>
        </w:rPr>
        <w:t xml:space="preserve"> Customers</w:t>
      </w:r>
      <w:r w:rsidR="0015570C">
        <w:rPr>
          <w:sz w:val="24"/>
          <w:szCs w:val="24"/>
        </w:rPr>
        <w:t xml:space="preserve"> that request it</w:t>
      </w:r>
      <w:r w:rsidRPr="00E153A2">
        <w:rPr>
          <w:sz w:val="24"/>
          <w:szCs w:val="24"/>
        </w:rPr>
        <w:t xml:space="preserve"> </w:t>
      </w:r>
      <w:r w:rsidR="00EB7DD4">
        <w:rPr>
          <w:rStyle w:val="FootnoteReference"/>
          <w:sz w:val="24"/>
          <w:szCs w:val="24"/>
        </w:rPr>
        <w:footnoteReference w:id="1"/>
      </w:r>
    </w:p>
    <w:p w:rsidR="00B27715" w:rsidRPr="00E153A2" w:rsidRDefault="00A07836" w:rsidP="00A07836">
      <w:pPr>
        <w:pStyle w:val="ListParagraph"/>
        <w:numPr>
          <w:ilvl w:val="3"/>
          <w:numId w:val="1"/>
        </w:numPr>
        <w:rPr>
          <w:sz w:val="24"/>
          <w:szCs w:val="24"/>
        </w:rPr>
      </w:pPr>
      <w:r>
        <w:rPr>
          <w:sz w:val="24"/>
          <w:szCs w:val="24"/>
        </w:rPr>
        <w:t>E</w:t>
      </w:r>
      <w:r w:rsidR="00B27715" w:rsidRPr="00E153A2">
        <w:rPr>
          <w:sz w:val="24"/>
          <w:szCs w:val="24"/>
        </w:rPr>
        <w:t>xcept for when reconnection could compromise safe operations; the utility has proof that the customer benefitted from theft or tampering; or the premises are vacant or unoccupied.</w:t>
      </w:r>
    </w:p>
    <w:p w:rsidR="00B27715" w:rsidRPr="00E153A2" w:rsidRDefault="00B27715" w:rsidP="00B27715">
      <w:pPr>
        <w:pStyle w:val="ListParagraph"/>
        <w:numPr>
          <w:ilvl w:val="2"/>
          <w:numId w:val="1"/>
        </w:numPr>
        <w:rPr>
          <w:sz w:val="24"/>
          <w:szCs w:val="24"/>
        </w:rPr>
      </w:pPr>
      <w:r w:rsidRPr="00E153A2">
        <w:rPr>
          <w:sz w:val="24"/>
          <w:szCs w:val="24"/>
        </w:rPr>
        <w:t>Reconnection fees waived</w:t>
      </w:r>
      <w:r w:rsidR="00F82438" w:rsidRPr="00E153A2">
        <w:rPr>
          <w:sz w:val="24"/>
          <w:szCs w:val="24"/>
        </w:rPr>
        <w:t xml:space="preserve"> for 6 months after SMP for LIHEAP</w:t>
      </w:r>
      <w:r w:rsidR="00F539F6">
        <w:rPr>
          <w:sz w:val="24"/>
          <w:szCs w:val="24"/>
        </w:rPr>
        <w:t>-</w:t>
      </w:r>
      <w:r w:rsidR="00F82438" w:rsidRPr="00E153A2">
        <w:rPr>
          <w:sz w:val="24"/>
          <w:szCs w:val="24"/>
        </w:rPr>
        <w:t>eligible and self</w:t>
      </w:r>
      <w:r w:rsidR="00F539F6">
        <w:rPr>
          <w:sz w:val="24"/>
          <w:szCs w:val="24"/>
        </w:rPr>
        <w:t>-</w:t>
      </w:r>
      <w:r w:rsidR="00F82438" w:rsidRPr="00E153A2">
        <w:rPr>
          <w:sz w:val="24"/>
          <w:szCs w:val="24"/>
        </w:rPr>
        <w:t>certified financial hardship</w:t>
      </w:r>
      <w:r w:rsidR="00F539F6">
        <w:rPr>
          <w:sz w:val="24"/>
          <w:szCs w:val="24"/>
        </w:rPr>
        <w:t>.</w:t>
      </w:r>
    </w:p>
    <w:p w:rsidR="00B27715" w:rsidRPr="00E153A2" w:rsidRDefault="00FE7226" w:rsidP="00E153A2">
      <w:pPr>
        <w:pStyle w:val="ListParagraph"/>
        <w:numPr>
          <w:ilvl w:val="3"/>
          <w:numId w:val="1"/>
        </w:numPr>
        <w:rPr>
          <w:sz w:val="24"/>
          <w:szCs w:val="24"/>
        </w:rPr>
      </w:pPr>
      <w:r>
        <w:rPr>
          <w:sz w:val="24"/>
          <w:szCs w:val="24"/>
        </w:rPr>
        <w:t>O</w:t>
      </w:r>
      <w:r w:rsidR="00E153A2" w:rsidRPr="00E153A2">
        <w:rPr>
          <w:sz w:val="24"/>
          <w:szCs w:val="24"/>
        </w:rPr>
        <w:t>utstanding balance rolled over to the reconnected accounts. Customers will be encouraged to establish deferred payment arrangements (DPAs).</w:t>
      </w:r>
    </w:p>
    <w:p w:rsidR="00E153A2" w:rsidRDefault="00E153A2" w:rsidP="00A07836">
      <w:pPr>
        <w:pStyle w:val="ListParagraph"/>
        <w:numPr>
          <w:ilvl w:val="2"/>
          <w:numId w:val="1"/>
        </w:numPr>
        <w:rPr>
          <w:sz w:val="24"/>
          <w:szCs w:val="24"/>
        </w:rPr>
      </w:pPr>
      <w:r w:rsidRPr="00E153A2">
        <w:rPr>
          <w:sz w:val="24"/>
          <w:szCs w:val="24"/>
        </w:rPr>
        <w:t>Reconnection will extend only to those Requesting Customers disconnected from one (1) year prior to commencement of the Stipulated Moratorium Period.</w:t>
      </w:r>
    </w:p>
    <w:p w:rsidR="0015570C" w:rsidRPr="00E153A2" w:rsidRDefault="0015570C" w:rsidP="0015570C">
      <w:pPr>
        <w:pStyle w:val="ListParagraph"/>
        <w:numPr>
          <w:ilvl w:val="2"/>
          <w:numId w:val="1"/>
        </w:numPr>
        <w:rPr>
          <w:sz w:val="24"/>
          <w:szCs w:val="24"/>
        </w:rPr>
      </w:pPr>
      <w:r w:rsidRPr="00E153A2">
        <w:rPr>
          <w:sz w:val="24"/>
          <w:szCs w:val="24"/>
        </w:rPr>
        <w:t>Reconnections will only be offered for the same service address that was previously disconnected for nonpayment.</w:t>
      </w:r>
    </w:p>
    <w:p w:rsidR="00E153A2" w:rsidRDefault="00E153A2" w:rsidP="00E153A2">
      <w:pPr>
        <w:pStyle w:val="ListParagraph"/>
        <w:numPr>
          <w:ilvl w:val="1"/>
          <w:numId w:val="1"/>
        </w:numPr>
        <w:rPr>
          <w:sz w:val="28"/>
          <w:szCs w:val="28"/>
        </w:rPr>
      </w:pPr>
      <w:r w:rsidRPr="00E153A2">
        <w:rPr>
          <w:sz w:val="28"/>
          <w:szCs w:val="28"/>
        </w:rPr>
        <w:t>DPAs</w:t>
      </w:r>
    </w:p>
    <w:p w:rsidR="00E153A2" w:rsidRDefault="00E153A2" w:rsidP="00E153A2">
      <w:pPr>
        <w:pStyle w:val="ListParagraph"/>
        <w:numPr>
          <w:ilvl w:val="2"/>
          <w:numId w:val="1"/>
        </w:numPr>
        <w:rPr>
          <w:sz w:val="24"/>
          <w:szCs w:val="24"/>
        </w:rPr>
      </w:pPr>
      <w:r w:rsidRPr="00E153A2">
        <w:rPr>
          <w:sz w:val="24"/>
          <w:szCs w:val="24"/>
        </w:rPr>
        <w:t xml:space="preserve">For 6 months following the SMP, DPA lengths of up to eighteen (18) months for (non-financial hardship) residential customers and twenty-four (24) months for </w:t>
      </w:r>
      <w:r w:rsidR="000E2430">
        <w:rPr>
          <w:sz w:val="24"/>
          <w:szCs w:val="24"/>
        </w:rPr>
        <w:t xml:space="preserve">LIHEAP-eligible OR </w:t>
      </w:r>
      <w:r w:rsidRPr="00E153A2">
        <w:rPr>
          <w:sz w:val="24"/>
          <w:szCs w:val="24"/>
        </w:rPr>
        <w:t>residential customers expressing financial hardship</w:t>
      </w:r>
      <w:r w:rsidR="00F539F6">
        <w:rPr>
          <w:sz w:val="24"/>
          <w:szCs w:val="24"/>
        </w:rPr>
        <w:t>.</w:t>
      </w:r>
    </w:p>
    <w:p w:rsidR="00EB7DD4" w:rsidRPr="00E153A2" w:rsidRDefault="00EB7DD4" w:rsidP="00E153A2">
      <w:pPr>
        <w:pStyle w:val="ListParagraph"/>
        <w:numPr>
          <w:ilvl w:val="2"/>
          <w:numId w:val="1"/>
        </w:numPr>
        <w:rPr>
          <w:sz w:val="24"/>
          <w:szCs w:val="24"/>
        </w:rPr>
      </w:pPr>
      <w:r>
        <w:rPr>
          <w:sz w:val="24"/>
          <w:szCs w:val="24"/>
        </w:rPr>
        <w:t>Requirement that the utility CSR inform the customer of financial assistance options and extended DPA lengths when they call</w:t>
      </w:r>
      <w:r w:rsidR="00F539F6">
        <w:rPr>
          <w:sz w:val="24"/>
          <w:szCs w:val="24"/>
        </w:rPr>
        <w:t>.</w:t>
      </w:r>
    </w:p>
    <w:p w:rsidR="00E153A2" w:rsidRPr="00E153A2" w:rsidRDefault="00E153A2" w:rsidP="00E153A2">
      <w:pPr>
        <w:pStyle w:val="ListParagraph"/>
        <w:numPr>
          <w:ilvl w:val="2"/>
          <w:numId w:val="1"/>
        </w:numPr>
        <w:rPr>
          <w:sz w:val="24"/>
          <w:szCs w:val="24"/>
        </w:rPr>
      </w:pPr>
      <w:r w:rsidRPr="00E153A2">
        <w:rPr>
          <w:sz w:val="24"/>
          <w:szCs w:val="24"/>
        </w:rPr>
        <w:t>Through the Transition Period, down</w:t>
      </w:r>
      <w:r w:rsidR="00FE7226">
        <w:rPr>
          <w:sz w:val="24"/>
          <w:szCs w:val="24"/>
        </w:rPr>
        <w:t xml:space="preserve"> </w:t>
      </w:r>
      <w:r w:rsidRPr="00E153A2">
        <w:rPr>
          <w:sz w:val="24"/>
          <w:szCs w:val="24"/>
        </w:rPr>
        <w:t xml:space="preserve">payments </w:t>
      </w:r>
      <w:r w:rsidR="000E2430" w:rsidRPr="00E153A2">
        <w:rPr>
          <w:sz w:val="24"/>
          <w:szCs w:val="24"/>
        </w:rPr>
        <w:t>will be waived for LIHEAP-eligible and self-certified</w:t>
      </w:r>
      <w:r w:rsidR="000E2430">
        <w:rPr>
          <w:sz w:val="24"/>
          <w:szCs w:val="24"/>
        </w:rPr>
        <w:t xml:space="preserve"> financial hardship</w:t>
      </w:r>
      <w:r w:rsidR="000E2430" w:rsidRPr="00E153A2">
        <w:rPr>
          <w:sz w:val="24"/>
          <w:szCs w:val="24"/>
        </w:rPr>
        <w:t xml:space="preserve"> </w:t>
      </w:r>
      <w:r w:rsidR="000E2430">
        <w:rPr>
          <w:sz w:val="24"/>
          <w:szCs w:val="24"/>
        </w:rPr>
        <w:t xml:space="preserve">and </w:t>
      </w:r>
      <w:r w:rsidRPr="00E153A2">
        <w:rPr>
          <w:sz w:val="24"/>
          <w:szCs w:val="24"/>
        </w:rPr>
        <w:t>capped at 10%</w:t>
      </w:r>
      <w:r w:rsidR="000E2430">
        <w:rPr>
          <w:sz w:val="24"/>
          <w:szCs w:val="24"/>
        </w:rPr>
        <w:t xml:space="preserve"> of the DPA for non-hardship</w:t>
      </w:r>
    </w:p>
    <w:p w:rsidR="00E153A2" w:rsidRDefault="00E153A2" w:rsidP="00E153A2">
      <w:pPr>
        <w:pStyle w:val="ListParagraph"/>
        <w:numPr>
          <w:ilvl w:val="2"/>
          <w:numId w:val="1"/>
        </w:numPr>
        <w:rPr>
          <w:sz w:val="24"/>
          <w:szCs w:val="24"/>
        </w:rPr>
      </w:pPr>
      <w:r w:rsidRPr="00E153A2">
        <w:rPr>
          <w:sz w:val="24"/>
          <w:szCs w:val="24"/>
        </w:rPr>
        <w:t>Customer can reestablish a DPA under same terms</w:t>
      </w:r>
      <w:r w:rsidR="000E2430">
        <w:rPr>
          <w:sz w:val="24"/>
          <w:szCs w:val="24"/>
        </w:rPr>
        <w:t xml:space="preserve"> once</w:t>
      </w:r>
      <w:r w:rsidRPr="00E153A2">
        <w:rPr>
          <w:sz w:val="24"/>
          <w:szCs w:val="24"/>
        </w:rPr>
        <w:t xml:space="preserve"> after first default</w:t>
      </w:r>
      <w:r w:rsidR="00F539F6">
        <w:rPr>
          <w:sz w:val="24"/>
          <w:szCs w:val="24"/>
        </w:rPr>
        <w:t>.</w:t>
      </w:r>
    </w:p>
    <w:p w:rsidR="000A36BF" w:rsidRPr="000A36BF" w:rsidRDefault="000A36BF" w:rsidP="000A36BF">
      <w:pPr>
        <w:pStyle w:val="ListParagraph"/>
        <w:numPr>
          <w:ilvl w:val="1"/>
          <w:numId w:val="1"/>
        </w:numPr>
        <w:rPr>
          <w:sz w:val="28"/>
          <w:szCs w:val="28"/>
        </w:rPr>
      </w:pPr>
      <w:r w:rsidRPr="000A36BF">
        <w:rPr>
          <w:sz w:val="28"/>
          <w:szCs w:val="28"/>
        </w:rPr>
        <w:t>Deposits</w:t>
      </w:r>
    </w:p>
    <w:p w:rsidR="000A36BF" w:rsidRDefault="000A36BF" w:rsidP="00EB7DD4">
      <w:pPr>
        <w:pStyle w:val="ListParagraph"/>
        <w:numPr>
          <w:ilvl w:val="2"/>
          <w:numId w:val="1"/>
        </w:numPr>
        <w:rPr>
          <w:sz w:val="24"/>
          <w:szCs w:val="24"/>
        </w:rPr>
      </w:pPr>
      <w:r>
        <w:rPr>
          <w:sz w:val="24"/>
          <w:szCs w:val="24"/>
        </w:rPr>
        <w:t xml:space="preserve">Through </w:t>
      </w:r>
      <w:r w:rsidR="00EB7DD4">
        <w:rPr>
          <w:sz w:val="24"/>
          <w:szCs w:val="24"/>
        </w:rPr>
        <w:t xml:space="preserve">TGP, </w:t>
      </w:r>
      <w:r w:rsidRPr="000A36BF">
        <w:rPr>
          <w:sz w:val="24"/>
          <w:szCs w:val="24"/>
        </w:rPr>
        <w:t>waive new deposit requirements associated with late or nonpayment, arrearages, or credit related issues for residential customers</w:t>
      </w:r>
      <w:r w:rsidR="00F539F6">
        <w:rPr>
          <w:sz w:val="24"/>
          <w:szCs w:val="24"/>
        </w:rPr>
        <w:t>.</w:t>
      </w:r>
    </w:p>
    <w:p w:rsidR="00EB7DD4" w:rsidRDefault="00EB7DD4" w:rsidP="000A36BF">
      <w:pPr>
        <w:pStyle w:val="ListParagraph"/>
        <w:numPr>
          <w:ilvl w:val="2"/>
          <w:numId w:val="1"/>
        </w:numPr>
        <w:rPr>
          <w:sz w:val="24"/>
          <w:szCs w:val="24"/>
        </w:rPr>
      </w:pPr>
      <w:r w:rsidRPr="00E85CD9">
        <w:rPr>
          <w:sz w:val="24"/>
          <w:szCs w:val="24"/>
        </w:rPr>
        <w:lastRenderedPageBreak/>
        <w:t>Deposit waived for an additional four (4) month period after the Transition Grace Period ends for residential customers who verbally express financial hardship</w:t>
      </w:r>
    </w:p>
    <w:p w:rsidR="00E85CD9" w:rsidRPr="00E85CD9" w:rsidRDefault="00E85CD9" w:rsidP="00E85CD9">
      <w:pPr>
        <w:pStyle w:val="ListParagraph"/>
        <w:numPr>
          <w:ilvl w:val="1"/>
          <w:numId w:val="1"/>
        </w:numPr>
        <w:rPr>
          <w:sz w:val="28"/>
          <w:szCs w:val="28"/>
        </w:rPr>
      </w:pPr>
      <w:r w:rsidRPr="00E85CD9">
        <w:rPr>
          <w:sz w:val="28"/>
          <w:szCs w:val="28"/>
        </w:rPr>
        <w:t>Credit Reporting</w:t>
      </w:r>
    </w:p>
    <w:p w:rsidR="001C5C32" w:rsidRDefault="001C5C32" w:rsidP="00E85CD9">
      <w:pPr>
        <w:pStyle w:val="ListParagraph"/>
        <w:numPr>
          <w:ilvl w:val="2"/>
          <w:numId w:val="1"/>
        </w:numPr>
        <w:rPr>
          <w:sz w:val="24"/>
          <w:szCs w:val="24"/>
        </w:rPr>
      </w:pPr>
      <w:r w:rsidRPr="001C5C32">
        <w:rPr>
          <w:sz w:val="24"/>
          <w:szCs w:val="24"/>
        </w:rPr>
        <w:t>For 6 months post SMP, utilities will not report late payments and nonpayment for active customers to credit bureaus and reporting agencies</w:t>
      </w:r>
    </w:p>
    <w:p w:rsidR="00E85CD9" w:rsidRPr="00E85CD9" w:rsidRDefault="00E85CD9" w:rsidP="00E85CD9">
      <w:pPr>
        <w:pStyle w:val="ListParagraph"/>
        <w:numPr>
          <w:ilvl w:val="1"/>
          <w:numId w:val="1"/>
        </w:numPr>
        <w:rPr>
          <w:sz w:val="28"/>
          <w:szCs w:val="28"/>
        </w:rPr>
      </w:pPr>
      <w:r w:rsidRPr="00E85CD9">
        <w:rPr>
          <w:sz w:val="28"/>
          <w:szCs w:val="28"/>
        </w:rPr>
        <w:t>Monthly Data Reporting</w:t>
      </w:r>
    </w:p>
    <w:p w:rsidR="009E2C88" w:rsidRDefault="009E2C88" w:rsidP="000A36BF">
      <w:pPr>
        <w:pStyle w:val="ListParagraph"/>
        <w:numPr>
          <w:ilvl w:val="2"/>
          <w:numId w:val="1"/>
        </w:numPr>
        <w:rPr>
          <w:sz w:val="24"/>
          <w:szCs w:val="24"/>
        </w:rPr>
      </w:pPr>
      <w:r>
        <w:rPr>
          <w:sz w:val="24"/>
          <w:szCs w:val="24"/>
        </w:rPr>
        <w:t xml:space="preserve">Credit and collections </w:t>
      </w:r>
      <w:r w:rsidR="00067583">
        <w:rPr>
          <w:sz w:val="24"/>
          <w:szCs w:val="24"/>
        </w:rPr>
        <w:t>data to be reported by zip code through August 2021</w:t>
      </w:r>
      <w:r w:rsidR="00F539F6">
        <w:rPr>
          <w:sz w:val="24"/>
          <w:szCs w:val="24"/>
        </w:rPr>
        <w:t>.</w:t>
      </w:r>
    </w:p>
    <w:p w:rsidR="009E2C88" w:rsidRPr="009E2C88" w:rsidRDefault="009E2C88" w:rsidP="009E2C88">
      <w:pPr>
        <w:pStyle w:val="ListParagraph"/>
        <w:numPr>
          <w:ilvl w:val="1"/>
          <w:numId w:val="1"/>
        </w:numPr>
        <w:rPr>
          <w:sz w:val="28"/>
          <w:szCs w:val="28"/>
        </w:rPr>
      </w:pPr>
      <w:r w:rsidRPr="009E2C88">
        <w:rPr>
          <w:sz w:val="28"/>
          <w:szCs w:val="28"/>
        </w:rPr>
        <w:t xml:space="preserve">Other Commitments </w:t>
      </w:r>
    </w:p>
    <w:p w:rsidR="009E2C88" w:rsidRDefault="009E2C88" w:rsidP="009E2C88">
      <w:pPr>
        <w:pStyle w:val="ListParagraph"/>
        <w:numPr>
          <w:ilvl w:val="2"/>
          <w:numId w:val="1"/>
        </w:numPr>
        <w:rPr>
          <w:sz w:val="24"/>
          <w:szCs w:val="24"/>
        </w:rPr>
      </w:pPr>
      <w:r>
        <w:rPr>
          <w:sz w:val="24"/>
          <w:szCs w:val="24"/>
        </w:rPr>
        <w:t xml:space="preserve">Outside the NOI, </w:t>
      </w:r>
      <w:r w:rsidRPr="009E2C88">
        <w:rPr>
          <w:sz w:val="24"/>
          <w:szCs w:val="24"/>
        </w:rPr>
        <w:t>Utilities agree to begin a discussion to improve the affordability of utility service for low income consumers, including a low-income discount and arrearage management/reduction programs, a specific examination of the effectiveness of the PIPP and the Energy Assistance Act that created it, including how to administer it more efficiently, whether it is adequately funded, and steps to ensure PIPP funds are used rather than being subject to government sweep.</w:t>
      </w:r>
    </w:p>
    <w:p w:rsidR="00EC74B6" w:rsidRDefault="00EC74B6" w:rsidP="00EC74B6">
      <w:pPr>
        <w:pStyle w:val="ListParagraph"/>
        <w:ind w:left="2160"/>
        <w:rPr>
          <w:sz w:val="24"/>
          <w:szCs w:val="24"/>
        </w:rPr>
      </w:pPr>
    </w:p>
    <w:p w:rsidR="009B5F7A" w:rsidRPr="009B5F7A" w:rsidRDefault="009B5F7A" w:rsidP="009B5F7A">
      <w:pPr>
        <w:rPr>
          <w:sz w:val="28"/>
          <w:szCs w:val="28"/>
          <w:u w:val="single"/>
        </w:rPr>
      </w:pPr>
      <w:r>
        <w:rPr>
          <w:sz w:val="28"/>
          <w:szCs w:val="28"/>
          <w:u w:val="single"/>
        </w:rPr>
        <w:t>COST RECOVERY</w:t>
      </w:r>
    </w:p>
    <w:p w:rsidR="009E2C88" w:rsidRPr="009E2C88" w:rsidRDefault="009E2C88" w:rsidP="009E2C88">
      <w:pPr>
        <w:pStyle w:val="ListParagraph"/>
        <w:numPr>
          <w:ilvl w:val="0"/>
          <w:numId w:val="1"/>
        </w:numPr>
        <w:rPr>
          <w:i/>
          <w:sz w:val="28"/>
          <w:szCs w:val="28"/>
          <w:u w:val="single"/>
        </w:rPr>
      </w:pPr>
      <w:r w:rsidRPr="009E2C88">
        <w:rPr>
          <w:i/>
          <w:sz w:val="28"/>
          <w:szCs w:val="28"/>
          <w:u w:val="single"/>
        </w:rPr>
        <w:t>Cost Tracking</w:t>
      </w:r>
    </w:p>
    <w:p w:rsidR="002A1348" w:rsidRDefault="009E2C88" w:rsidP="009E2C88">
      <w:pPr>
        <w:pStyle w:val="ListParagraph"/>
        <w:numPr>
          <w:ilvl w:val="1"/>
          <w:numId w:val="1"/>
        </w:numPr>
        <w:rPr>
          <w:sz w:val="24"/>
          <w:szCs w:val="24"/>
        </w:rPr>
      </w:pPr>
      <w:r w:rsidRPr="009E2C88">
        <w:rPr>
          <w:sz w:val="24"/>
          <w:szCs w:val="24"/>
        </w:rPr>
        <w:t xml:space="preserve">COVID-19 Related Costs </w:t>
      </w:r>
      <w:r w:rsidR="002A1348">
        <w:rPr>
          <w:sz w:val="24"/>
          <w:szCs w:val="24"/>
        </w:rPr>
        <w:t>include:</w:t>
      </w:r>
      <w:r w:rsidRPr="009E2C88">
        <w:rPr>
          <w:sz w:val="24"/>
          <w:szCs w:val="24"/>
        </w:rPr>
        <w:t xml:space="preserve"> </w:t>
      </w:r>
    </w:p>
    <w:p w:rsidR="002A1348" w:rsidRDefault="009E2C88" w:rsidP="002A1348">
      <w:pPr>
        <w:ind w:left="720" w:firstLine="720"/>
        <w:rPr>
          <w:sz w:val="24"/>
          <w:szCs w:val="24"/>
        </w:rPr>
      </w:pPr>
      <w:r w:rsidRPr="002A1348">
        <w:rPr>
          <w:sz w:val="24"/>
          <w:szCs w:val="24"/>
        </w:rPr>
        <w:t xml:space="preserve">(1) COVID-19 Direct Costs net of COVID-19 Direct Offsets; </w:t>
      </w:r>
    </w:p>
    <w:p w:rsidR="002A1348" w:rsidRDefault="009E2C88" w:rsidP="002A1348">
      <w:pPr>
        <w:ind w:left="720" w:firstLine="720"/>
        <w:rPr>
          <w:sz w:val="24"/>
          <w:szCs w:val="24"/>
        </w:rPr>
      </w:pPr>
      <w:r w:rsidRPr="002A1348">
        <w:rPr>
          <w:sz w:val="24"/>
          <w:szCs w:val="24"/>
        </w:rPr>
        <w:t xml:space="preserve">(2) COVID-19 Foregone Late Fees; </w:t>
      </w:r>
    </w:p>
    <w:p w:rsidR="002A1348" w:rsidRDefault="009E2C88" w:rsidP="002A1348">
      <w:pPr>
        <w:ind w:left="720" w:firstLine="720"/>
        <w:rPr>
          <w:sz w:val="24"/>
          <w:szCs w:val="24"/>
        </w:rPr>
      </w:pPr>
      <w:r w:rsidRPr="002A1348">
        <w:rPr>
          <w:sz w:val="24"/>
          <w:szCs w:val="24"/>
        </w:rPr>
        <w:t xml:space="preserve">(3) COVID-19 Foregone Reconnection Charges; and </w:t>
      </w:r>
    </w:p>
    <w:p w:rsidR="009E2C88" w:rsidRPr="002A1348" w:rsidRDefault="009E2C88" w:rsidP="002A1348">
      <w:pPr>
        <w:ind w:left="720" w:firstLine="720"/>
        <w:rPr>
          <w:sz w:val="24"/>
          <w:szCs w:val="24"/>
        </w:rPr>
      </w:pPr>
      <w:r w:rsidRPr="002A1348">
        <w:rPr>
          <w:sz w:val="24"/>
          <w:szCs w:val="24"/>
        </w:rPr>
        <w:t>(4) COVID-19 Bill Pay Assistance Program Amounts, incurred beginning March 1, 2020, through the end of the rider (2022)</w:t>
      </w:r>
      <w:r w:rsidR="00F539F6">
        <w:rPr>
          <w:sz w:val="24"/>
          <w:szCs w:val="24"/>
        </w:rPr>
        <w:t>.</w:t>
      </w:r>
    </w:p>
    <w:p w:rsidR="009E2C88" w:rsidRPr="007574F8" w:rsidRDefault="007574F8" w:rsidP="007574F8">
      <w:pPr>
        <w:pStyle w:val="ListParagraph"/>
        <w:numPr>
          <w:ilvl w:val="0"/>
          <w:numId w:val="1"/>
        </w:numPr>
        <w:rPr>
          <w:i/>
          <w:sz w:val="28"/>
          <w:szCs w:val="28"/>
          <w:u w:val="single"/>
        </w:rPr>
      </w:pPr>
      <w:r w:rsidRPr="007574F8">
        <w:rPr>
          <w:i/>
          <w:sz w:val="28"/>
          <w:szCs w:val="28"/>
          <w:u w:val="single"/>
        </w:rPr>
        <w:t>Special Purpose Rider</w:t>
      </w:r>
      <w:r w:rsidR="00B53574">
        <w:rPr>
          <w:i/>
          <w:sz w:val="28"/>
          <w:szCs w:val="28"/>
          <w:u w:val="single"/>
        </w:rPr>
        <w:t xml:space="preserve"> for Gas &amp; Water Utilities</w:t>
      </w:r>
    </w:p>
    <w:p w:rsidR="002A1348" w:rsidRDefault="001E4087" w:rsidP="007574F8">
      <w:pPr>
        <w:pStyle w:val="ListParagraph"/>
        <w:numPr>
          <w:ilvl w:val="1"/>
          <w:numId w:val="1"/>
        </w:numPr>
        <w:rPr>
          <w:sz w:val="24"/>
          <w:szCs w:val="24"/>
        </w:rPr>
      </w:pPr>
      <w:r>
        <w:rPr>
          <w:sz w:val="24"/>
          <w:szCs w:val="24"/>
        </w:rPr>
        <w:t>Water and Gas Utilities</w:t>
      </w:r>
      <w:r w:rsidR="007574F8" w:rsidRPr="007574F8">
        <w:rPr>
          <w:sz w:val="24"/>
          <w:szCs w:val="24"/>
        </w:rPr>
        <w:t xml:space="preserve"> may </w:t>
      </w:r>
      <w:r w:rsidR="002A1348">
        <w:rPr>
          <w:sz w:val="24"/>
          <w:szCs w:val="24"/>
        </w:rPr>
        <w:t xml:space="preserve">include </w:t>
      </w:r>
      <w:r w:rsidR="007574F8" w:rsidRPr="007574F8">
        <w:rPr>
          <w:sz w:val="24"/>
          <w:szCs w:val="24"/>
        </w:rPr>
        <w:t xml:space="preserve">COVID-19 </w:t>
      </w:r>
      <w:r w:rsidR="002A1348">
        <w:rPr>
          <w:sz w:val="24"/>
          <w:szCs w:val="24"/>
        </w:rPr>
        <w:t>costs in a Special Purpose Rider</w:t>
      </w:r>
      <w:r w:rsidR="007574F8" w:rsidRPr="007574F8">
        <w:rPr>
          <w:sz w:val="24"/>
          <w:szCs w:val="24"/>
        </w:rPr>
        <w:t>.</w:t>
      </w:r>
    </w:p>
    <w:p w:rsidR="007574F8" w:rsidRDefault="007574F8" w:rsidP="002A1348">
      <w:pPr>
        <w:pStyle w:val="ListParagraph"/>
        <w:numPr>
          <w:ilvl w:val="2"/>
          <w:numId w:val="1"/>
        </w:numPr>
        <w:rPr>
          <w:sz w:val="24"/>
          <w:szCs w:val="24"/>
        </w:rPr>
      </w:pPr>
      <w:r w:rsidRPr="007574F8">
        <w:rPr>
          <w:sz w:val="24"/>
          <w:szCs w:val="24"/>
        </w:rPr>
        <w:t xml:space="preserve"> Rider recovery </w:t>
      </w:r>
      <w:r w:rsidR="002A1348">
        <w:rPr>
          <w:sz w:val="24"/>
          <w:szCs w:val="24"/>
        </w:rPr>
        <w:t>will</w:t>
      </w:r>
      <w:r w:rsidRPr="007574F8">
        <w:rPr>
          <w:sz w:val="24"/>
          <w:szCs w:val="24"/>
        </w:rPr>
        <w:t xml:space="preserve"> take place over a twenty-four (24) month period, beginning no later than ninety (90) days after the Order is issued in this Proceeding or January 1, 2021, whichever is earlier, subject to a prudence and reasonableness review and reconciliation.</w:t>
      </w:r>
    </w:p>
    <w:p w:rsidR="00410EE8" w:rsidRPr="00410EE8" w:rsidRDefault="00F539F6" w:rsidP="002A1348">
      <w:pPr>
        <w:pStyle w:val="ListParagraph"/>
        <w:numPr>
          <w:ilvl w:val="2"/>
          <w:numId w:val="1"/>
        </w:numPr>
        <w:rPr>
          <w:sz w:val="24"/>
          <w:szCs w:val="24"/>
        </w:rPr>
      </w:pPr>
      <w:r>
        <w:rPr>
          <w:sz w:val="24"/>
          <w:szCs w:val="24"/>
        </w:rPr>
        <w:lastRenderedPageBreak/>
        <w:t>F</w:t>
      </w:r>
      <w:r w:rsidR="00410EE8" w:rsidRPr="00410EE8">
        <w:rPr>
          <w:sz w:val="24"/>
          <w:szCs w:val="24"/>
        </w:rPr>
        <w:t>airly apportioned to classes using cost causation principles</w:t>
      </w:r>
      <w:r>
        <w:rPr>
          <w:sz w:val="24"/>
          <w:szCs w:val="24"/>
        </w:rPr>
        <w:t>.</w:t>
      </w:r>
    </w:p>
    <w:p w:rsidR="00410EE8" w:rsidRDefault="00410EE8" w:rsidP="002A1348">
      <w:pPr>
        <w:pStyle w:val="ListParagraph"/>
        <w:numPr>
          <w:ilvl w:val="2"/>
          <w:numId w:val="1"/>
        </w:numPr>
        <w:rPr>
          <w:sz w:val="24"/>
          <w:szCs w:val="24"/>
        </w:rPr>
      </w:pPr>
      <w:r w:rsidRPr="00410EE8">
        <w:rPr>
          <w:sz w:val="24"/>
          <w:szCs w:val="24"/>
        </w:rPr>
        <w:t>COVID-19 Bill Pay Assistance Program Amounts will be recovered from residential customers</w:t>
      </w:r>
      <w:r w:rsidR="00F539F6">
        <w:rPr>
          <w:sz w:val="24"/>
          <w:szCs w:val="24"/>
        </w:rPr>
        <w:t>.</w:t>
      </w:r>
    </w:p>
    <w:p w:rsidR="001E4087" w:rsidRDefault="001E4087" w:rsidP="001E4087">
      <w:pPr>
        <w:pStyle w:val="ListParagraph"/>
        <w:numPr>
          <w:ilvl w:val="2"/>
          <w:numId w:val="1"/>
        </w:numPr>
        <w:rPr>
          <w:sz w:val="24"/>
          <w:szCs w:val="24"/>
        </w:rPr>
      </w:pPr>
      <w:r>
        <w:rPr>
          <w:sz w:val="24"/>
          <w:szCs w:val="24"/>
        </w:rPr>
        <w:t>The Rider will recover:</w:t>
      </w:r>
    </w:p>
    <w:p w:rsidR="001E4087" w:rsidRDefault="001E4087" w:rsidP="001E4087">
      <w:pPr>
        <w:pStyle w:val="ListParagraph"/>
        <w:numPr>
          <w:ilvl w:val="3"/>
          <w:numId w:val="1"/>
        </w:numPr>
        <w:rPr>
          <w:sz w:val="24"/>
          <w:szCs w:val="24"/>
        </w:rPr>
      </w:pPr>
      <w:r w:rsidRPr="001E4087">
        <w:rPr>
          <w:b/>
          <w:sz w:val="24"/>
          <w:szCs w:val="24"/>
        </w:rPr>
        <w:t>COVID-19 Direct Costs</w:t>
      </w:r>
      <w:r w:rsidRPr="001E4087">
        <w:rPr>
          <w:sz w:val="24"/>
          <w:szCs w:val="24"/>
        </w:rPr>
        <w:t xml:space="preserve"> </w:t>
      </w:r>
      <w:r>
        <w:rPr>
          <w:sz w:val="24"/>
          <w:szCs w:val="24"/>
        </w:rPr>
        <w:t>-</w:t>
      </w:r>
      <w:r w:rsidRPr="001E4087">
        <w:rPr>
          <w:sz w:val="24"/>
          <w:szCs w:val="24"/>
        </w:rPr>
        <w:t xml:space="preserve"> direct costs resulting from the Emergency Interim Order, obligations to accommodate the Governor’s Emergency Orders to control the spread of the COVID-19 pandemic, and any other reasonable measures taken by the utility in response to the COVID-19 pandemic, incurred beginning March 1, 2020 and ending on the later of the day on which all Restore Illinois Health Regions have moved to Phase 5 (Illinois Restored) under the Plan or March 1, 2022.</w:t>
      </w:r>
    </w:p>
    <w:p w:rsidR="001E4087" w:rsidRDefault="001E4087" w:rsidP="001E4087">
      <w:pPr>
        <w:pStyle w:val="ListParagraph"/>
        <w:numPr>
          <w:ilvl w:val="4"/>
          <w:numId w:val="1"/>
        </w:numPr>
        <w:rPr>
          <w:sz w:val="24"/>
          <w:szCs w:val="24"/>
        </w:rPr>
      </w:pPr>
      <w:r w:rsidRPr="001E4087">
        <w:rPr>
          <w:sz w:val="24"/>
          <w:szCs w:val="24"/>
        </w:rPr>
        <w:t>To be disaggregated by one-</w:t>
      </w:r>
      <w:r>
        <w:rPr>
          <w:sz w:val="24"/>
          <w:szCs w:val="24"/>
        </w:rPr>
        <w:t>time costs and ongoing costs</w:t>
      </w:r>
      <w:r w:rsidR="00F539F6">
        <w:rPr>
          <w:sz w:val="24"/>
          <w:szCs w:val="24"/>
        </w:rPr>
        <w:t>.</w:t>
      </w:r>
    </w:p>
    <w:p w:rsidR="001E4087" w:rsidRDefault="001E4087" w:rsidP="001E4087">
      <w:pPr>
        <w:pStyle w:val="ListParagraph"/>
        <w:numPr>
          <w:ilvl w:val="4"/>
          <w:numId w:val="1"/>
        </w:numPr>
        <w:rPr>
          <w:sz w:val="24"/>
          <w:szCs w:val="24"/>
        </w:rPr>
      </w:pPr>
      <w:r w:rsidRPr="001E4087">
        <w:rPr>
          <w:sz w:val="24"/>
          <w:szCs w:val="24"/>
        </w:rPr>
        <w:t>Costs to be offset by credits, payments, or other benefits received by the Utility from the federal, state, or local government as assistance for, reimbursement for, or to otherwise pay for or reduce a COVID-19 Direct Cost</w:t>
      </w:r>
      <w:r w:rsidR="00F539F6">
        <w:rPr>
          <w:sz w:val="24"/>
          <w:szCs w:val="24"/>
        </w:rPr>
        <w:t>.</w:t>
      </w:r>
    </w:p>
    <w:p w:rsidR="000E21BD" w:rsidRDefault="000E21BD" w:rsidP="000E21BD">
      <w:pPr>
        <w:pStyle w:val="ListParagraph"/>
        <w:numPr>
          <w:ilvl w:val="3"/>
          <w:numId w:val="1"/>
        </w:numPr>
        <w:rPr>
          <w:sz w:val="24"/>
          <w:szCs w:val="24"/>
        </w:rPr>
      </w:pPr>
      <w:r w:rsidRPr="000E21BD">
        <w:rPr>
          <w:b/>
          <w:sz w:val="24"/>
          <w:szCs w:val="24"/>
        </w:rPr>
        <w:t>Foregone Late Fees</w:t>
      </w:r>
      <w:r>
        <w:rPr>
          <w:sz w:val="24"/>
          <w:szCs w:val="24"/>
        </w:rPr>
        <w:t xml:space="preserve"> – </w:t>
      </w:r>
    </w:p>
    <w:p w:rsidR="000E21BD" w:rsidRDefault="000E21BD" w:rsidP="000E21BD">
      <w:pPr>
        <w:pStyle w:val="ListParagraph"/>
        <w:numPr>
          <w:ilvl w:val="4"/>
          <w:numId w:val="1"/>
        </w:numPr>
        <w:rPr>
          <w:sz w:val="24"/>
          <w:szCs w:val="24"/>
        </w:rPr>
      </w:pPr>
      <w:r w:rsidRPr="000E21BD">
        <w:rPr>
          <w:sz w:val="24"/>
          <w:szCs w:val="24"/>
        </w:rPr>
        <w:t xml:space="preserve">Water and Gas Utilities other than Peoples Gas and North </w:t>
      </w:r>
      <w:bookmarkStart w:id="0" w:name="_GoBack"/>
      <w:bookmarkEnd w:id="0"/>
      <w:r w:rsidRPr="000E21BD">
        <w:rPr>
          <w:sz w:val="24"/>
          <w:szCs w:val="24"/>
        </w:rPr>
        <w:t>Shore, late payment fees capped at the difference between the actual late fees collected by the Utility in the calendar or fiscal year including the period beginning March 1, 2020 and ending 30 days after the Stipulated Moratorium Period and the authorized annual level of late payment fees included in “other revenues” in the Utility’s last rate case.</w:t>
      </w:r>
    </w:p>
    <w:p w:rsidR="000E21BD" w:rsidRDefault="000E21BD" w:rsidP="000E21BD">
      <w:pPr>
        <w:pStyle w:val="ListParagraph"/>
        <w:numPr>
          <w:ilvl w:val="4"/>
          <w:numId w:val="1"/>
        </w:numPr>
        <w:rPr>
          <w:sz w:val="24"/>
          <w:szCs w:val="24"/>
        </w:rPr>
      </w:pPr>
      <w:r>
        <w:rPr>
          <w:sz w:val="24"/>
          <w:szCs w:val="24"/>
        </w:rPr>
        <w:t>PGL &amp; NS –</w:t>
      </w:r>
      <w:r w:rsidR="002A1348">
        <w:rPr>
          <w:sz w:val="24"/>
          <w:szCs w:val="24"/>
        </w:rPr>
        <w:t xml:space="preserve"> capped at $17.1 </w:t>
      </w:r>
      <w:r w:rsidR="00F539F6">
        <w:rPr>
          <w:sz w:val="24"/>
          <w:szCs w:val="24"/>
        </w:rPr>
        <w:t>million.</w:t>
      </w:r>
    </w:p>
    <w:p w:rsidR="000E21BD" w:rsidRPr="000E21BD" w:rsidRDefault="000E21BD" w:rsidP="000E21BD">
      <w:pPr>
        <w:pStyle w:val="ListParagraph"/>
        <w:numPr>
          <w:ilvl w:val="3"/>
          <w:numId w:val="1"/>
        </w:numPr>
        <w:rPr>
          <w:b/>
          <w:sz w:val="24"/>
          <w:szCs w:val="24"/>
        </w:rPr>
      </w:pPr>
      <w:r w:rsidRPr="000E21BD">
        <w:rPr>
          <w:b/>
          <w:sz w:val="24"/>
          <w:szCs w:val="24"/>
        </w:rPr>
        <w:t>Reconnection Fees</w:t>
      </w:r>
    </w:p>
    <w:p w:rsidR="000E21BD" w:rsidRPr="000E21BD" w:rsidRDefault="000E21BD" w:rsidP="000E21BD">
      <w:pPr>
        <w:pStyle w:val="ListParagraph"/>
        <w:numPr>
          <w:ilvl w:val="4"/>
          <w:numId w:val="1"/>
        </w:numPr>
        <w:rPr>
          <w:sz w:val="24"/>
          <w:szCs w:val="24"/>
        </w:rPr>
      </w:pPr>
      <w:r w:rsidRPr="000E21BD">
        <w:rPr>
          <w:sz w:val="24"/>
          <w:szCs w:val="24"/>
        </w:rPr>
        <w:t>From March 1, 2020 to 6 months after the SMP</w:t>
      </w:r>
    </w:p>
    <w:p w:rsidR="000E21BD" w:rsidRPr="000E21BD" w:rsidRDefault="00F539F6" w:rsidP="000E21BD">
      <w:pPr>
        <w:pStyle w:val="ListParagraph"/>
        <w:numPr>
          <w:ilvl w:val="5"/>
          <w:numId w:val="1"/>
        </w:numPr>
        <w:rPr>
          <w:sz w:val="24"/>
          <w:szCs w:val="24"/>
        </w:rPr>
      </w:pPr>
      <w:r>
        <w:rPr>
          <w:sz w:val="24"/>
          <w:szCs w:val="24"/>
        </w:rPr>
        <w:t>N</w:t>
      </w:r>
      <w:r w:rsidR="000E21BD" w:rsidRPr="000E21BD">
        <w:rPr>
          <w:sz w:val="24"/>
          <w:szCs w:val="24"/>
        </w:rPr>
        <w:t>o more than the amount equal to one reconnection fee per customer who was reconnected to service without charge pursuant to the Emergency Interim Order or the Stip.</w:t>
      </w:r>
    </w:p>
    <w:p w:rsidR="000E21BD" w:rsidRDefault="00DD2BC5" w:rsidP="00DD2BC5">
      <w:pPr>
        <w:pStyle w:val="ListParagraph"/>
        <w:numPr>
          <w:ilvl w:val="3"/>
          <w:numId w:val="1"/>
        </w:numPr>
        <w:rPr>
          <w:b/>
          <w:sz w:val="24"/>
          <w:szCs w:val="24"/>
        </w:rPr>
      </w:pPr>
      <w:r w:rsidRPr="00DD2BC5">
        <w:rPr>
          <w:b/>
          <w:sz w:val="24"/>
          <w:szCs w:val="24"/>
        </w:rPr>
        <w:t>COVID-19 Bill Pay Assistance Program Amounts</w:t>
      </w:r>
      <w:r>
        <w:rPr>
          <w:b/>
          <w:sz w:val="24"/>
          <w:szCs w:val="24"/>
        </w:rPr>
        <w:t xml:space="preserve"> (Arrearage Program, see below)</w:t>
      </w:r>
      <w:r w:rsidR="00EB7418">
        <w:rPr>
          <w:b/>
          <w:sz w:val="24"/>
          <w:szCs w:val="24"/>
        </w:rPr>
        <w:t>\</w:t>
      </w:r>
    </w:p>
    <w:p w:rsidR="00EB7418" w:rsidRDefault="00EB7418" w:rsidP="00EB7418">
      <w:pPr>
        <w:pStyle w:val="ListParagraph"/>
        <w:ind w:left="2880"/>
        <w:rPr>
          <w:b/>
          <w:sz w:val="24"/>
          <w:szCs w:val="24"/>
        </w:rPr>
      </w:pPr>
    </w:p>
    <w:p w:rsidR="00EB7418" w:rsidRDefault="00EB7418" w:rsidP="00EB7418">
      <w:pPr>
        <w:pStyle w:val="ListParagraph"/>
        <w:ind w:left="2880"/>
        <w:rPr>
          <w:b/>
          <w:sz w:val="24"/>
          <w:szCs w:val="24"/>
        </w:rPr>
      </w:pPr>
    </w:p>
    <w:p w:rsidR="00EB7418" w:rsidRDefault="00EB7418" w:rsidP="00EB7418">
      <w:pPr>
        <w:pStyle w:val="ListParagraph"/>
        <w:ind w:left="2880"/>
        <w:rPr>
          <w:b/>
          <w:sz w:val="24"/>
          <w:szCs w:val="24"/>
        </w:rPr>
      </w:pPr>
    </w:p>
    <w:p w:rsidR="00B53574" w:rsidRDefault="00B53574" w:rsidP="003F3B90">
      <w:pPr>
        <w:pStyle w:val="ListParagraph"/>
        <w:numPr>
          <w:ilvl w:val="0"/>
          <w:numId w:val="1"/>
        </w:numPr>
        <w:rPr>
          <w:i/>
          <w:sz w:val="28"/>
          <w:szCs w:val="28"/>
          <w:u w:val="single"/>
        </w:rPr>
      </w:pPr>
      <w:r>
        <w:rPr>
          <w:i/>
          <w:sz w:val="28"/>
          <w:szCs w:val="28"/>
          <w:u w:val="single"/>
        </w:rPr>
        <w:lastRenderedPageBreak/>
        <w:t>Electric Formula Rate Utilities Cost Recovery</w:t>
      </w:r>
    </w:p>
    <w:p w:rsidR="00B53574" w:rsidRDefault="00B53574" w:rsidP="00BB3EA1">
      <w:pPr>
        <w:pStyle w:val="Heading3"/>
        <w:numPr>
          <w:ilvl w:val="1"/>
          <w:numId w:val="1"/>
        </w:numPr>
        <w:spacing w:after="0"/>
        <w:rPr>
          <w:rFonts w:asciiTheme="minorHAnsi" w:hAnsiTheme="minorHAnsi" w:cstheme="minorBidi"/>
          <w:bCs w:val="0"/>
          <w:color w:val="auto"/>
          <w:lang w:eastAsia="en-US"/>
        </w:rPr>
      </w:pPr>
      <w:r w:rsidRPr="00B53574">
        <w:rPr>
          <w:rFonts w:asciiTheme="minorHAnsi" w:hAnsiTheme="minorHAnsi" w:cstheme="minorBidi"/>
          <w:bCs w:val="0"/>
          <w:color w:val="auto"/>
          <w:lang w:eastAsia="en-US"/>
        </w:rPr>
        <w:t>Deferred COVID-19 Costs will be included in the deferred reg</w:t>
      </w:r>
      <w:r w:rsidR="00F539F6">
        <w:rPr>
          <w:rFonts w:asciiTheme="minorHAnsi" w:hAnsiTheme="minorHAnsi" w:cstheme="minorBidi"/>
          <w:bCs w:val="0"/>
          <w:color w:val="auto"/>
          <w:lang w:eastAsia="en-US"/>
        </w:rPr>
        <w:t>ulatory</w:t>
      </w:r>
      <w:r w:rsidRPr="00B53574">
        <w:rPr>
          <w:rFonts w:asciiTheme="minorHAnsi" w:hAnsiTheme="minorHAnsi" w:cstheme="minorBidi"/>
          <w:bCs w:val="0"/>
          <w:color w:val="auto"/>
          <w:lang w:eastAsia="en-US"/>
        </w:rPr>
        <w:t xml:space="preserve"> asset allowed </w:t>
      </w:r>
      <w:proofErr w:type="gramStart"/>
      <w:r w:rsidRPr="00B53574">
        <w:rPr>
          <w:rFonts w:asciiTheme="minorHAnsi" w:hAnsiTheme="minorHAnsi" w:cstheme="minorBidi"/>
          <w:bCs w:val="0"/>
          <w:color w:val="auto"/>
          <w:lang w:eastAsia="en-US"/>
        </w:rPr>
        <w:t xml:space="preserve">by </w:t>
      </w:r>
      <w:r w:rsidR="00F539F6" w:rsidRPr="00BB3EA1">
        <w:rPr>
          <w:rFonts w:asciiTheme="minorHAnsi" w:hAnsiTheme="minorHAnsi" w:cstheme="minorBidi"/>
          <w:bCs w:val="0"/>
          <w:color w:val="auto"/>
          <w:lang w:eastAsia="en-US"/>
        </w:rPr>
        <w:t> Energy</w:t>
      </w:r>
      <w:proofErr w:type="gramEnd"/>
      <w:r w:rsidR="00F539F6" w:rsidRPr="00BB3EA1">
        <w:rPr>
          <w:rFonts w:asciiTheme="minorHAnsi" w:hAnsiTheme="minorHAnsi" w:cstheme="minorBidi"/>
          <w:bCs w:val="0"/>
          <w:color w:val="auto"/>
          <w:lang w:eastAsia="en-US"/>
        </w:rPr>
        <w:t xml:space="preserve"> Infrastructure Modernization Act. </w:t>
      </w:r>
      <w:proofErr w:type="gramStart"/>
      <w:r w:rsidR="00F539F6" w:rsidRPr="00BB3EA1">
        <w:rPr>
          <w:rFonts w:asciiTheme="minorHAnsi" w:hAnsiTheme="minorHAnsi" w:cstheme="minorBidi"/>
          <w:bCs w:val="0"/>
          <w:color w:val="auto"/>
          <w:lang w:eastAsia="en-US"/>
        </w:rPr>
        <w:t>(</w:t>
      </w:r>
      <w:r w:rsidR="00F539F6" w:rsidRPr="00BB3EA1">
        <w:rPr>
          <w:rFonts w:asciiTheme="minorHAnsi" w:hAnsiTheme="minorHAnsi" w:cstheme="minorBidi"/>
          <w:color w:val="auto"/>
          <w:lang w:eastAsia="en-US"/>
        </w:rPr>
        <w:t>EIMA</w:t>
      </w:r>
      <w:r w:rsidR="00F539F6" w:rsidRPr="00BB3EA1">
        <w:rPr>
          <w:rFonts w:asciiTheme="minorHAnsi" w:hAnsiTheme="minorHAnsi" w:cstheme="minorBidi"/>
          <w:bCs w:val="0"/>
          <w:color w:val="auto"/>
          <w:lang w:eastAsia="en-US"/>
        </w:rPr>
        <w:t>)</w:t>
      </w:r>
      <w:r w:rsidR="00D85DA3">
        <w:rPr>
          <w:rFonts w:asciiTheme="minorHAnsi" w:hAnsiTheme="minorHAnsi" w:cstheme="minorBidi"/>
          <w:bCs w:val="0"/>
          <w:color w:val="auto"/>
          <w:lang w:eastAsia="en-US"/>
        </w:rPr>
        <w:t xml:space="preserve"> for ComEd</w:t>
      </w:r>
      <w:r w:rsidRPr="00B53574">
        <w:rPr>
          <w:rFonts w:asciiTheme="minorHAnsi" w:hAnsiTheme="minorHAnsi" w:cstheme="minorBidi"/>
          <w:bCs w:val="0"/>
          <w:color w:val="auto"/>
          <w:lang w:eastAsia="en-US"/>
        </w:rPr>
        <w:t>, including direct costs and offsets (as identified above)</w:t>
      </w:r>
      <w:r w:rsidR="00D85DA3">
        <w:rPr>
          <w:rFonts w:asciiTheme="minorHAnsi" w:hAnsiTheme="minorHAnsi" w:cstheme="minorBidi"/>
          <w:bCs w:val="0"/>
          <w:color w:val="auto"/>
          <w:lang w:eastAsia="en-US"/>
        </w:rPr>
        <w:t xml:space="preserve">, if they exceed the statutory threshold of $10 </w:t>
      </w:r>
      <w:r w:rsidR="00F539F6">
        <w:rPr>
          <w:rFonts w:asciiTheme="minorHAnsi" w:hAnsiTheme="minorHAnsi" w:cstheme="minorBidi"/>
          <w:bCs w:val="0"/>
          <w:color w:val="auto"/>
          <w:lang w:eastAsia="en-US"/>
        </w:rPr>
        <w:t>million</w:t>
      </w:r>
      <w:r w:rsidR="00D85DA3">
        <w:rPr>
          <w:rFonts w:asciiTheme="minorHAnsi" w:hAnsiTheme="minorHAnsi" w:cstheme="minorBidi"/>
          <w:bCs w:val="0"/>
          <w:color w:val="auto"/>
          <w:lang w:eastAsia="en-US"/>
        </w:rPr>
        <w:t>.</w:t>
      </w:r>
      <w:proofErr w:type="gramEnd"/>
      <w:r w:rsidR="00D85DA3">
        <w:rPr>
          <w:rFonts w:asciiTheme="minorHAnsi" w:hAnsiTheme="minorHAnsi" w:cstheme="minorBidi"/>
          <w:bCs w:val="0"/>
          <w:color w:val="auto"/>
          <w:lang w:eastAsia="en-US"/>
        </w:rPr>
        <w:t xml:space="preserve"> Ameren does not expect to reach its statutory threshold ($3.7 M?), so </w:t>
      </w:r>
      <w:r w:rsidR="00F539F6">
        <w:rPr>
          <w:rFonts w:asciiTheme="minorHAnsi" w:hAnsiTheme="minorHAnsi" w:cstheme="minorBidi"/>
          <w:bCs w:val="0"/>
          <w:color w:val="auto"/>
          <w:lang w:eastAsia="en-US"/>
        </w:rPr>
        <w:t xml:space="preserve">it </w:t>
      </w:r>
      <w:r w:rsidR="00D85DA3">
        <w:rPr>
          <w:rFonts w:asciiTheme="minorHAnsi" w:hAnsiTheme="minorHAnsi" w:cstheme="minorBidi"/>
          <w:bCs w:val="0"/>
          <w:color w:val="auto"/>
          <w:lang w:eastAsia="en-US"/>
        </w:rPr>
        <w:t>won’t be using a reg</w:t>
      </w:r>
      <w:r w:rsidR="00F539F6">
        <w:rPr>
          <w:rFonts w:asciiTheme="minorHAnsi" w:hAnsiTheme="minorHAnsi" w:cstheme="minorBidi"/>
          <w:bCs w:val="0"/>
          <w:color w:val="auto"/>
          <w:lang w:eastAsia="en-US"/>
        </w:rPr>
        <w:t>ulatory</w:t>
      </w:r>
      <w:r w:rsidR="00D85DA3">
        <w:rPr>
          <w:rFonts w:asciiTheme="minorHAnsi" w:hAnsiTheme="minorHAnsi" w:cstheme="minorBidi"/>
          <w:bCs w:val="0"/>
          <w:color w:val="auto"/>
          <w:lang w:eastAsia="en-US"/>
        </w:rPr>
        <w:t xml:space="preserve"> asset</w:t>
      </w:r>
      <w:r w:rsidR="00F539F6">
        <w:rPr>
          <w:rFonts w:asciiTheme="minorHAnsi" w:hAnsiTheme="minorHAnsi" w:cstheme="minorBidi"/>
          <w:bCs w:val="0"/>
          <w:color w:val="auto"/>
          <w:lang w:eastAsia="en-US"/>
        </w:rPr>
        <w:t>.</w:t>
      </w:r>
    </w:p>
    <w:p w:rsidR="00B53574" w:rsidRDefault="00F539F6" w:rsidP="00B53574">
      <w:pPr>
        <w:pStyle w:val="ListParagraph"/>
        <w:numPr>
          <w:ilvl w:val="1"/>
          <w:numId w:val="1"/>
        </w:numPr>
        <w:rPr>
          <w:sz w:val="24"/>
          <w:szCs w:val="24"/>
        </w:rPr>
      </w:pPr>
      <w:r>
        <w:rPr>
          <w:sz w:val="24"/>
          <w:szCs w:val="24"/>
        </w:rPr>
        <w:t xml:space="preserve">ComEd and Ameren </w:t>
      </w:r>
      <w:r w:rsidR="00D85DA3">
        <w:rPr>
          <w:sz w:val="24"/>
          <w:szCs w:val="24"/>
        </w:rPr>
        <w:t>will</w:t>
      </w:r>
      <w:r w:rsidR="00B53574" w:rsidRPr="00B53574">
        <w:rPr>
          <w:sz w:val="24"/>
          <w:szCs w:val="24"/>
        </w:rPr>
        <w:t xml:space="preserve"> switch from using net write-offs to using uncollectible accounts expense in FERC Account 904 for any uncollectible amounts accrued the </w:t>
      </w:r>
      <w:r>
        <w:rPr>
          <w:sz w:val="24"/>
          <w:szCs w:val="24"/>
        </w:rPr>
        <w:t>first</w:t>
      </w:r>
      <w:r w:rsidRPr="00B53574">
        <w:rPr>
          <w:sz w:val="24"/>
          <w:szCs w:val="24"/>
        </w:rPr>
        <w:t xml:space="preserve"> </w:t>
      </w:r>
      <w:r w:rsidR="00B53574" w:rsidRPr="00B53574">
        <w:rPr>
          <w:sz w:val="24"/>
          <w:szCs w:val="24"/>
        </w:rPr>
        <w:t>of the month of the Order through December 31, 2020</w:t>
      </w:r>
      <w:r>
        <w:rPr>
          <w:sz w:val="24"/>
          <w:szCs w:val="24"/>
        </w:rPr>
        <w:t>.</w:t>
      </w:r>
    </w:p>
    <w:p w:rsidR="00D85DA3" w:rsidRDefault="00D85DA3" w:rsidP="00B53574">
      <w:pPr>
        <w:pStyle w:val="ListParagraph"/>
        <w:numPr>
          <w:ilvl w:val="1"/>
          <w:numId w:val="1"/>
        </w:numPr>
        <w:rPr>
          <w:sz w:val="24"/>
          <w:szCs w:val="24"/>
        </w:rPr>
      </w:pPr>
      <w:r>
        <w:rPr>
          <w:sz w:val="24"/>
          <w:szCs w:val="24"/>
        </w:rPr>
        <w:t>This will smooth out the big bump that would otherwise occur in 2022 (delay because of the way the rider is timed and reconciled)</w:t>
      </w:r>
      <w:r w:rsidR="009A69D1">
        <w:rPr>
          <w:sz w:val="24"/>
          <w:szCs w:val="24"/>
        </w:rPr>
        <w:t>.</w:t>
      </w:r>
    </w:p>
    <w:p w:rsidR="009A69D1" w:rsidRDefault="009A69D1" w:rsidP="009A69D1">
      <w:pPr>
        <w:pStyle w:val="ListParagraph"/>
        <w:ind w:left="1440"/>
        <w:rPr>
          <w:sz w:val="24"/>
          <w:szCs w:val="24"/>
        </w:rPr>
      </w:pPr>
    </w:p>
    <w:p w:rsidR="00DD2BC5" w:rsidRPr="009B5F7A" w:rsidRDefault="003F3B90" w:rsidP="009B5F7A">
      <w:pPr>
        <w:rPr>
          <w:sz w:val="28"/>
          <w:szCs w:val="28"/>
          <w:u w:val="single"/>
        </w:rPr>
      </w:pPr>
      <w:r w:rsidRPr="009B5F7A">
        <w:rPr>
          <w:sz w:val="28"/>
          <w:szCs w:val="28"/>
          <w:u w:val="single"/>
        </w:rPr>
        <w:t xml:space="preserve">Bill </w:t>
      </w:r>
      <w:r w:rsidR="00D85DA3" w:rsidRPr="009B5F7A">
        <w:rPr>
          <w:sz w:val="28"/>
          <w:szCs w:val="28"/>
          <w:u w:val="single"/>
        </w:rPr>
        <w:t xml:space="preserve">Payment </w:t>
      </w:r>
      <w:r w:rsidRPr="009B5F7A">
        <w:rPr>
          <w:sz w:val="28"/>
          <w:szCs w:val="28"/>
          <w:u w:val="single"/>
        </w:rPr>
        <w:t>Assistance Program</w:t>
      </w:r>
    </w:p>
    <w:p w:rsidR="003F3B90" w:rsidRPr="00D8431D" w:rsidRDefault="003F3B90" w:rsidP="003F3B90">
      <w:pPr>
        <w:pStyle w:val="ListParagraph"/>
        <w:numPr>
          <w:ilvl w:val="1"/>
          <w:numId w:val="1"/>
        </w:numPr>
        <w:rPr>
          <w:b/>
          <w:sz w:val="24"/>
          <w:szCs w:val="24"/>
        </w:rPr>
      </w:pPr>
      <w:r w:rsidRPr="00D8431D">
        <w:rPr>
          <w:sz w:val="24"/>
          <w:szCs w:val="24"/>
        </w:rPr>
        <w:t xml:space="preserve">Each Water and Gas Utility shall create a </w:t>
      </w:r>
      <w:r w:rsidR="00FF3E93">
        <w:rPr>
          <w:sz w:val="24"/>
          <w:szCs w:val="24"/>
        </w:rPr>
        <w:t>Bill P</w:t>
      </w:r>
      <w:r w:rsidRPr="00D8431D">
        <w:rPr>
          <w:sz w:val="24"/>
          <w:szCs w:val="24"/>
        </w:rPr>
        <w:t>ay</w:t>
      </w:r>
      <w:r w:rsidR="00FF3E93">
        <w:rPr>
          <w:sz w:val="24"/>
          <w:szCs w:val="24"/>
        </w:rPr>
        <w:t>ment A</w:t>
      </w:r>
      <w:r w:rsidRPr="00D8431D">
        <w:rPr>
          <w:sz w:val="24"/>
          <w:szCs w:val="24"/>
        </w:rPr>
        <w:t>ssistance program in order to provide eligible residential customers with relief from high arrearages.</w:t>
      </w:r>
      <w:r w:rsidR="00FF3E93">
        <w:rPr>
          <w:sz w:val="24"/>
          <w:szCs w:val="24"/>
        </w:rPr>
        <w:t xml:space="preserve"> Each utility’s program will be slightly different in terms of the total amount in the program, the amount allotted to each customer and the way it will be administered.</w:t>
      </w:r>
    </w:p>
    <w:p w:rsidR="003F3B90" w:rsidRPr="00D8431D" w:rsidRDefault="003F3B90" w:rsidP="003F3B90">
      <w:pPr>
        <w:pStyle w:val="ListParagraph"/>
        <w:numPr>
          <w:ilvl w:val="1"/>
          <w:numId w:val="1"/>
        </w:numPr>
        <w:rPr>
          <w:b/>
          <w:sz w:val="24"/>
          <w:szCs w:val="24"/>
        </w:rPr>
      </w:pPr>
      <w:r w:rsidRPr="00D8431D">
        <w:rPr>
          <w:sz w:val="24"/>
          <w:szCs w:val="24"/>
        </w:rPr>
        <w:t xml:space="preserve">Separate addenda will be attached to the </w:t>
      </w:r>
      <w:proofErr w:type="spellStart"/>
      <w:r w:rsidRPr="00D8431D">
        <w:rPr>
          <w:sz w:val="24"/>
          <w:szCs w:val="24"/>
        </w:rPr>
        <w:t>Stip</w:t>
      </w:r>
      <w:proofErr w:type="spellEnd"/>
      <w:r w:rsidRPr="00D8431D">
        <w:rPr>
          <w:sz w:val="24"/>
          <w:szCs w:val="24"/>
        </w:rPr>
        <w:t xml:space="preserve"> specifying the amount of funding that </w:t>
      </w:r>
      <w:r w:rsidR="002B1F26">
        <w:rPr>
          <w:sz w:val="24"/>
          <w:szCs w:val="24"/>
        </w:rPr>
        <w:t xml:space="preserve">each </w:t>
      </w:r>
      <w:r w:rsidR="00FF3E93">
        <w:rPr>
          <w:sz w:val="24"/>
          <w:szCs w:val="24"/>
        </w:rPr>
        <w:t>u</w:t>
      </w:r>
      <w:r w:rsidRPr="00D8431D">
        <w:rPr>
          <w:sz w:val="24"/>
          <w:szCs w:val="24"/>
        </w:rPr>
        <w:t>tility will apply towards Bill Pay</w:t>
      </w:r>
      <w:r w:rsidR="00FF3E93">
        <w:rPr>
          <w:sz w:val="24"/>
          <w:szCs w:val="24"/>
        </w:rPr>
        <w:t>ment</w:t>
      </w:r>
      <w:r w:rsidRPr="00D8431D">
        <w:rPr>
          <w:sz w:val="24"/>
          <w:szCs w:val="24"/>
        </w:rPr>
        <w:t xml:space="preserve"> Assistance Program Amounts </w:t>
      </w:r>
      <w:r w:rsidR="002B1F26">
        <w:rPr>
          <w:sz w:val="24"/>
          <w:szCs w:val="24"/>
        </w:rPr>
        <w:t>to be collected in a Special Purpose Rider</w:t>
      </w:r>
    </w:p>
    <w:p w:rsidR="00BD7A9B" w:rsidRDefault="00BD7A9B" w:rsidP="00A64158">
      <w:pPr>
        <w:pStyle w:val="ListParagraph"/>
        <w:numPr>
          <w:ilvl w:val="1"/>
          <w:numId w:val="1"/>
        </w:numPr>
        <w:rPr>
          <w:sz w:val="24"/>
          <w:szCs w:val="24"/>
        </w:rPr>
      </w:pPr>
      <w:r>
        <w:rPr>
          <w:sz w:val="24"/>
          <w:szCs w:val="24"/>
        </w:rPr>
        <w:t xml:space="preserve">Within 30 days after order entered, </w:t>
      </w:r>
      <w:r w:rsidRPr="00BD7A9B">
        <w:rPr>
          <w:sz w:val="24"/>
          <w:szCs w:val="24"/>
        </w:rPr>
        <w:t xml:space="preserve">Utilities will </w:t>
      </w:r>
      <w:r>
        <w:rPr>
          <w:sz w:val="24"/>
          <w:szCs w:val="24"/>
        </w:rPr>
        <w:t xml:space="preserve">provide </w:t>
      </w:r>
      <w:r w:rsidRPr="00BD7A9B">
        <w:rPr>
          <w:sz w:val="24"/>
          <w:szCs w:val="24"/>
        </w:rPr>
        <w:t>report that identifies the manner in which the COVID-19 Debt Forgiveness Program amounts will be distributed to eligible customers</w:t>
      </w:r>
    </w:p>
    <w:p w:rsidR="00FF3E93" w:rsidRPr="00BD7A9B" w:rsidRDefault="00F539F6" w:rsidP="00A64158">
      <w:pPr>
        <w:pStyle w:val="ListParagraph"/>
        <w:numPr>
          <w:ilvl w:val="1"/>
          <w:numId w:val="1"/>
        </w:numPr>
        <w:rPr>
          <w:sz w:val="24"/>
          <w:szCs w:val="24"/>
        </w:rPr>
      </w:pPr>
      <w:r w:rsidRPr="009A69D1">
        <w:rPr>
          <w:b/>
          <w:sz w:val="24"/>
          <w:szCs w:val="24"/>
        </w:rPr>
        <w:t>Note:</w:t>
      </w:r>
      <w:r>
        <w:rPr>
          <w:sz w:val="24"/>
          <w:szCs w:val="24"/>
        </w:rPr>
        <w:t xml:space="preserve"> </w:t>
      </w:r>
      <w:r w:rsidR="00EB7418">
        <w:rPr>
          <w:sz w:val="24"/>
          <w:szCs w:val="24"/>
        </w:rPr>
        <w:t>See</w:t>
      </w:r>
      <w:r w:rsidR="00FF3E93">
        <w:rPr>
          <w:sz w:val="24"/>
          <w:szCs w:val="24"/>
        </w:rPr>
        <w:t xml:space="preserve"> chart with </w:t>
      </w:r>
      <w:r w:rsidR="00EB7418">
        <w:rPr>
          <w:sz w:val="24"/>
          <w:szCs w:val="24"/>
        </w:rPr>
        <w:t>the cost/rate impacts</w:t>
      </w:r>
      <w:r>
        <w:rPr>
          <w:sz w:val="24"/>
          <w:szCs w:val="24"/>
        </w:rPr>
        <w:t>.</w:t>
      </w:r>
    </w:p>
    <w:p w:rsidR="004A2723" w:rsidRPr="009B5F7A" w:rsidRDefault="00D8431D" w:rsidP="009B5F7A">
      <w:pPr>
        <w:rPr>
          <w:b/>
          <w:sz w:val="24"/>
          <w:szCs w:val="24"/>
        </w:rPr>
      </w:pPr>
      <w:r w:rsidRPr="009B5F7A">
        <w:rPr>
          <w:sz w:val="28"/>
          <w:szCs w:val="28"/>
          <w:u w:val="single"/>
        </w:rPr>
        <w:t>Compliance Filing</w:t>
      </w:r>
      <w:r w:rsidRPr="009B5F7A">
        <w:rPr>
          <w:sz w:val="24"/>
          <w:szCs w:val="24"/>
        </w:rPr>
        <w:t xml:space="preserve"> </w:t>
      </w:r>
    </w:p>
    <w:p w:rsidR="00D8431D" w:rsidRPr="00D8431D" w:rsidRDefault="004A2723" w:rsidP="004A2723">
      <w:pPr>
        <w:pStyle w:val="ListParagraph"/>
        <w:numPr>
          <w:ilvl w:val="1"/>
          <w:numId w:val="1"/>
        </w:numPr>
        <w:rPr>
          <w:b/>
          <w:sz w:val="24"/>
          <w:szCs w:val="24"/>
        </w:rPr>
      </w:pPr>
      <w:r>
        <w:rPr>
          <w:sz w:val="24"/>
          <w:szCs w:val="24"/>
        </w:rPr>
        <w:t>P</w:t>
      </w:r>
      <w:r w:rsidR="00D8431D" w:rsidRPr="00D8431D">
        <w:rPr>
          <w:sz w:val="24"/>
          <w:szCs w:val="24"/>
        </w:rPr>
        <w:t>ublicly filed 30 days after the quarter end of the following data:</w:t>
      </w:r>
    </w:p>
    <w:p w:rsidR="00D8431D" w:rsidRPr="00D8431D" w:rsidRDefault="00D8431D" w:rsidP="00D8431D">
      <w:pPr>
        <w:pStyle w:val="ListParagraph"/>
        <w:numPr>
          <w:ilvl w:val="2"/>
          <w:numId w:val="1"/>
        </w:numPr>
        <w:rPr>
          <w:b/>
          <w:sz w:val="24"/>
          <w:szCs w:val="24"/>
        </w:rPr>
      </w:pPr>
      <w:r w:rsidRPr="00D8431D">
        <w:rPr>
          <w:sz w:val="24"/>
          <w:szCs w:val="24"/>
        </w:rPr>
        <w:t>COVID-19 Direct Costs (to the extent reasonably possible, broken</w:t>
      </w:r>
      <w:r w:rsidR="00F539F6">
        <w:rPr>
          <w:sz w:val="24"/>
          <w:szCs w:val="24"/>
        </w:rPr>
        <w:t xml:space="preserve"> </w:t>
      </w:r>
      <w:r w:rsidRPr="00D8431D">
        <w:rPr>
          <w:sz w:val="24"/>
          <w:szCs w:val="24"/>
        </w:rPr>
        <w:t>down by cost subcategory);</w:t>
      </w:r>
    </w:p>
    <w:p w:rsidR="00D8431D" w:rsidRPr="00D8431D" w:rsidRDefault="00D8431D" w:rsidP="00D8431D">
      <w:pPr>
        <w:pStyle w:val="ListParagraph"/>
        <w:numPr>
          <w:ilvl w:val="2"/>
          <w:numId w:val="1"/>
        </w:numPr>
        <w:rPr>
          <w:b/>
          <w:sz w:val="24"/>
          <w:szCs w:val="24"/>
        </w:rPr>
      </w:pPr>
      <w:r w:rsidRPr="00D8431D">
        <w:rPr>
          <w:sz w:val="24"/>
          <w:szCs w:val="24"/>
        </w:rPr>
        <w:t>COVID-19 Direct Offsets (to the extent reasonably possible, broken</w:t>
      </w:r>
      <w:r w:rsidR="00F539F6">
        <w:rPr>
          <w:sz w:val="24"/>
          <w:szCs w:val="24"/>
        </w:rPr>
        <w:t xml:space="preserve"> </w:t>
      </w:r>
      <w:r w:rsidRPr="00D8431D">
        <w:rPr>
          <w:sz w:val="24"/>
          <w:szCs w:val="24"/>
        </w:rPr>
        <w:t>down by cost subcategory);</w:t>
      </w:r>
    </w:p>
    <w:p w:rsidR="00D8431D" w:rsidRPr="00D8431D" w:rsidRDefault="00D8431D" w:rsidP="00D8431D">
      <w:pPr>
        <w:pStyle w:val="ListParagraph"/>
        <w:numPr>
          <w:ilvl w:val="2"/>
          <w:numId w:val="1"/>
        </w:numPr>
        <w:rPr>
          <w:b/>
          <w:sz w:val="24"/>
          <w:szCs w:val="24"/>
        </w:rPr>
      </w:pPr>
      <w:r w:rsidRPr="00D8431D">
        <w:rPr>
          <w:sz w:val="24"/>
          <w:szCs w:val="24"/>
        </w:rPr>
        <w:t>COVID-19 Foregone Late Fees</w:t>
      </w:r>
      <w:r w:rsidR="00F539F6">
        <w:rPr>
          <w:sz w:val="24"/>
          <w:szCs w:val="24"/>
        </w:rPr>
        <w:t>;</w:t>
      </w:r>
    </w:p>
    <w:p w:rsidR="00D8431D" w:rsidRPr="00D8431D" w:rsidRDefault="00D8431D" w:rsidP="00D8431D">
      <w:pPr>
        <w:pStyle w:val="ListParagraph"/>
        <w:numPr>
          <w:ilvl w:val="2"/>
          <w:numId w:val="1"/>
        </w:numPr>
        <w:rPr>
          <w:b/>
          <w:sz w:val="24"/>
          <w:szCs w:val="24"/>
        </w:rPr>
      </w:pPr>
      <w:r w:rsidRPr="00D8431D">
        <w:rPr>
          <w:sz w:val="24"/>
          <w:szCs w:val="24"/>
        </w:rPr>
        <w:t>COVID-19 Foregone Reconnection Charges (identified by type of fee or charge);</w:t>
      </w:r>
    </w:p>
    <w:p w:rsidR="00D8431D" w:rsidRPr="00D8431D" w:rsidRDefault="00D8431D" w:rsidP="00D8431D">
      <w:pPr>
        <w:pStyle w:val="ListParagraph"/>
        <w:numPr>
          <w:ilvl w:val="2"/>
          <w:numId w:val="1"/>
        </w:numPr>
        <w:rPr>
          <w:b/>
          <w:sz w:val="24"/>
          <w:szCs w:val="24"/>
        </w:rPr>
      </w:pPr>
      <w:r w:rsidRPr="00D8431D">
        <w:rPr>
          <w:sz w:val="24"/>
          <w:szCs w:val="24"/>
        </w:rPr>
        <w:t>COVID-19 Bill Pay Assistance Program Amounts</w:t>
      </w:r>
      <w:r w:rsidR="00F539F6">
        <w:rPr>
          <w:sz w:val="24"/>
          <w:szCs w:val="24"/>
        </w:rPr>
        <w:t>.</w:t>
      </w:r>
    </w:p>
    <w:sectPr w:rsidR="00D8431D" w:rsidRPr="00D84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E3" w:rsidRDefault="00E95BE3" w:rsidP="00EB7DD4">
      <w:pPr>
        <w:spacing w:after="0" w:line="240" w:lineRule="auto"/>
      </w:pPr>
      <w:r>
        <w:separator/>
      </w:r>
    </w:p>
  </w:endnote>
  <w:endnote w:type="continuationSeparator" w:id="0">
    <w:p w:rsidR="00E95BE3" w:rsidRDefault="00E95BE3" w:rsidP="00EB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E3" w:rsidRDefault="00E95BE3" w:rsidP="00EB7DD4">
      <w:pPr>
        <w:spacing w:after="0" w:line="240" w:lineRule="auto"/>
      </w:pPr>
      <w:r>
        <w:separator/>
      </w:r>
    </w:p>
  </w:footnote>
  <w:footnote w:type="continuationSeparator" w:id="0">
    <w:p w:rsidR="00E95BE3" w:rsidRDefault="00E95BE3" w:rsidP="00EB7DD4">
      <w:pPr>
        <w:spacing w:after="0" w:line="240" w:lineRule="auto"/>
      </w:pPr>
      <w:r>
        <w:continuationSeparator/>
      </w:r>
    </w:p>
  </w:footnote>
  <w:footnote w:id="1">
    <w:p w:rsidR="00EB7DD4" w:rsidRDefault="00EB7DD4">
      <w:pPr>
        <w:pStyle w:val="FootnoteText"/>
      </w:pPr>
      <w:r>
        <w:rPr>
          <w:rStyle w:val="FootnoteReference"/>
        </w:rPr>
        <w:footnoteRef/>
      </w:r>
      <w:r>
        <w:t xml:space="preserve"> Customers </w:t>
      </w:r>
      <w:proofErr w:type="gramStart"/>
      <w:r w:rsidRPr="00EB7DD4">
        <w:t>disconnected  up</w:t>
      </w:r>
      <w:proofErr w:type="gramEnd"/>
      <w:r w:rsidRPr="00EB7DD4">
        <w:t xml:space="preserve"> to</w:t>
      </w:r>
      <w:r>
        <w:t xml:space="preserve"> one (1) year prior to commencement of the Stipulated Moratorium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49B"/>
    <w:multiLevelType w:val="hybridMultilevel"/>
    <w:tmpl w:val="D9004E38"/>
    <w:lvl w:ilvl="0" w:tplc="8EEA28EC">
      <w:start w:val="1"/>
      <w:numFmt w:val="decimal"/>
      <w:lvlText w:val="%1."/>
      <w:lvlJc w:val="left"/>
      <w:pPr>
        <w:ind w:left="720" w:hanging="360"/>
      </w:pPr>
      <w:rPr>
        <w:i w:val="0"/>
        <w:iCs w:val="0"/>
      </w:rPr>
    </w:lvl>
    <w:lvl w:ilvl="1" w:tplc="53626734">
      <w:start w:val="1"/>
      <w:numFmt w:val="lowerLetter"/>
      <w:lvlText w:val="%2."/>
      <w:lvlJc w:val="left"/>
      <w:pPr>
        <w:ind w:left="1440" w:hanging="360"/>
      </w:pPr>
      <w:rPr>
        <w:i w:val="0"/>
        <w:iCs w:val="0"/>
      </w:rPr>
    </w:lvl>
    <w:lvl w:ilvl="2" w:tplc="A58C6FB2">
      <w:start w:val="1"/>
      <w:numFmt w:val="lowerRoman"/>
      <w:lvlText w:val="%3."/>
      <w:lvlJc w:val="left"/>
      <w:pPr>
        <w:ind w:left="2160" w:hanging="180"/>
      </w:pPr>
      <w:rPr>
        <w:rFonts w:hint="default"/>
        <w:i w:val="0"/>
        <w:iCs w:val="0"/>
      </w:rPr>
    </w:lvl>
    <w:lvl w:ilvl="3" w:tplc="925436AE" w:tentative="1">
      <w:start w:val="1"/>
      <w:numFmt w:val="decimal"/>
      <w:lvlText w:val="%4."/>
      <w:lvlJc w:val="left"/>
      <w:pPr>
        <w:ind w:left="2880" w:hanging="360"/>
      </w:pPr>
    </w:lvl>
    <w:lvl w:ilvl="4" w:tplc="02E2E39E" w:tentative="1">
      <w:start w:val="1"/>
      <w:numFmt w:val="lowerLetter"/>
      <w:lvlText w:val="%5."/>
      <w:lvlJc w:val="left"/>
      <w:pPr>
        <w:ind w:left="3600" w:hanging="360"/>
      </w:pPr>
    </w:lvl>
    <w:lvl w:ilvl="5" w:tplc="C192916C" w:tentative="1">
      <w:start w:val="1"/>
      <w:numFmt w:val="lowerRoman"/>
      <w:lvlText w:val="%6."/>
      <w:lvlJc w:val="right"/>
      <w:pPr>
        <w:ind w:left="4320" w:hanging="180"/>
      </w:pPr>
    </w:lvl>
    <w:lvl w:ilvl="6" w:tplc="85AEDE20" w:tentative="1">
      <w:start w:val="1"/>
      <w:numFmt w:val="decimal"/>
      <w:lvlText w:val="%7."/>
      <w:lvlJc w:val="left"/>
      <w:pPr>
        <w:ind w:left="5040" w:hanging="360"/>
      </w:pPr>
    </w:lvl>
    <w:lvl w:ilvl="7" w:tplc="10A27C06" w:tentative="1">
      <w:start w:val="1"/>
      <w:numFmt w:val="lowerLetter"/>
      <w:lvlText w:val="%8."/>
      <w:lvlJc w:val="left"/>
      <w:pPr>
        <w:ind w:left="5760" w:hanging="360"/>
      </w:pPr>
    </w:lvl>
    <w:lvl w:ilvl="8" w:tplc="4FBEB6C4" w:tentative="1">
      <w:start w:val="1"/>
      <w:numFmt w:val="lowerRoman"/>
      <w:lvlText w:val="%9."/>
      <w:lvlJc w:val="right"/>
      <w:pPr>
        <w:ind w:left="6480" w:hanging="180"/>
      </w:pPr>
    </w:lvl>
  </w:abstractNum>
  <w:abstractNum w:abstractNumId="1">
    <w:nsid w:val="1D47633E"/>
    <w:multiLevelType w:val="multilevel"/>
    <w:tmpl w:val="30B62798"/>
    <w:lvl w:ilvl="0">
      <w:start w:val="1"/>
      <w:numFmt w:val="upperRoman"/>
      <w:lvlText w:val="%1."/>
      <w:lvlJc w:val="left"/>
      <w:pPr>
        <w:ind w:left="720" w:hanging="720"/>
      </w:pPr>
      <w:rPr>
        <w:rFonts w:hint="default"/>
      </w:rPr>
    </w:lvl>
    <w:lvl w:ilvl="1">
      <w:start w:val="1"/>
      <w:numFmt w:val="decimal"/>
      <w:pStyle w:val="Heading2"/>
      <w:lvlText w:val="%2."/>
      <w:lvlJc w:val="left"/>
      <w:pPr>
        <w:ind w:left="1440" w:hanging="720"/>
      </w:pPr>
      <w:rPr>
        <w:rFonts w:ascii="Arial" w:hAnsi="Arial" w:cs="Arial" w:hint="default"/>
        <w:i w:val="0"/>
        <w:iCs w:val="0"/>
      </w:rPr>
    </w:lvl>
    <w:lvl w:ilvl="2">
      <w:start w:val="1"/>
      <w:numFmt w:val="lowerLetter"/>
      <w:pStyle w:val="Heading3"/>
      <w:lvlText w:val="%3."/>
      <w:lvlJc w:val="left"/>
      <w:pPr>
        <w:ind w:left="35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Heading4"/>
      <w:lvlText w:val="%4."/>
      <w:lvlJc w:val="left"/>
      <w:pPr>
        <w:ind w:left="2880" w:hanging="72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5E6D1E"/>
    <w:multiLevelType w:val="hybridMultilevel"/>
    <w:tmpl w:val="B7EE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E732D"/>
    <w:multiLevelType w:val="hybridMultilevel"/>
    <w:tmpl w:val="97D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BF"/>
    <w:rsid w:val="00067583"/>
    <w:rsid w:val="000963BF"/>
    <w:rsid w:val="000A36BF"/>
    <w:rsid w:val="000B0371"/>
    <w:rsid w:val="000E21BD"/>
    <w:rsid w:val="000E2430"/>
    <w:rsid w:val="0015570C"/>
    <w:rsid w:val="001604B1"/>
    <w:rsid w:val="001C5C32"/>
    <w:rsid w:val="001E4087"/>
    <w:rsid w:val="002A1348"/>
    <w:rsid w:val="002B1F26"/>
    <w:rsid w:val="003F3B90"/>
    <w:rsid w:val="00400610"/>
    <w:rsid w:val="00410EE8"/>
    <w:rsid w:val="004A2723"/>
    <w:rsid w:val="00525804"/>
    <w:rsid w:val="007574F8"/>
    <w:rsid w:val="007625D9"/>
    <w:rsid w:val="009A349C"/>
    <w:rsid w:val="009A69D1"/>
    <w:rsid w:val="009B5F7A"/>
    <w:rsid w:val="009E2C88"/>
    <w:rsid w:val="00A07836"/>
    <w:rsid w:val="00A64158"/>
    <w:rsid w:val="00B27715"/>
    <w:rsid w:val="00B53574"/>
    <w:rsid w:val="00B922CB"/>
    <w:rsid w:val="00BA1D01"/>
    <w:rsid w:val="00BB3EA1"/>
    <w:rsid w:val="00BD7A9B"/>
    <w:rsid w:val="00C0608E"/>
    <w:rsid w:val="00CD2E99"/>
    <w:rsid w:val="00D8431D"/>
    <w:rsid w:val="00D85DA3"/>
    <w:rsid w:val="00DD2BC5"/>
    <w:rsid w:val="00DF68A0"/>
    <w:rsid w:val="00E153A2"/>
    <w:rsid w:val="00E37D94"/>
    <w:rsid w:val="00E85C15"/>
    <w:rsid w:val="00E85CD9"/>
    <w:rsid w:val="00E95BE3"/>
    <w:rsid w:val="00EB7418"/>
    <w:rsid w:val="00EB7DD4"/>
    <w:rsid w:val="00EC74B6"/>
    <w:rsid w:val="00F539F6"/>
    <w:rsid w:val="00F82438"/>
    <w:rsid w:val="00F93E3B"/>
    <w:rsid w:val="00FE7226"/>
    <w:rsid w:val="00FF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D8431D"/>
    <w:pPr>
      <w:numPr>
        <w:ilvl w:val="1"/>
        <w:numId w:val="2"/>
      </w:numPr>
      <w:snapToGrid w:val="0"/>
      <w:spacing w:after="240" w:line="240" w:lineRule="auto"/>
      <w:ind w:left="0" w:firstLine="720"/>
      <w:contextualSpacing w:val="0"/>
      <w:jc w:val="both"/>
      <w:outlineLvl w:val="1"/>
    </w:pPr>
    <w:rPr>
      <w:rFonts w:ascii="Arial" w:hAnsi="Arial" w:cs="Arial"/>
      <w:bCs/>
      <w:color w:val="000000" w:themeColor="text1"/>
      <w:sz w:val="24"/>
      <w:szCs w:val="24"/>
      <w:lang w:eastAsia="ja-JP"/>
    </w:rPr>
  </w:style>
  <w:style w:type="paragraph" w:styleId="Heading3">
    <w:name w:val="heading 3"/>
    <w:basedOn w:val="ListParagraph"/>
    <w:next w:val="Normal"/>
    <w:link w:val="Heading3Char"/>
    <w:uiPriority w:val="9"/>
    <w:unhideWhenUsed/>
    <w:qFormat/>
    <w:rsid w:val="00D8431D"/>
    <w:pPr>
      <w:numPr>
        <w:ilvl w:val="2"/>
        <w:numId w:val="2"/>
      </w:numPr>
      <w:snapToGrid w:val="0"/>
      <w:spacing w:after="240" w:line="240" w:lineRule="auto"/>
      <w:ind w:left="720" w:firstLine="720"/>
      <w:contextualSpacing w:val="0"/>
      <w:jc w:val="both"/>
      <w:outlineLvl w:val="2"/>
    </w:pPr>
    <w:rPr>
      <w:rFonts w:ascii="Arial" w:hAnsi="Arial" w:cs="Arial"/>
      <w:bCs/>
      <w:color w:val="000000" w:themeColor="text1"/>
      <w:sz w:val="24"/>
      <w:szCs w:val="24"/>
      <w:lang w:eastAsia="ja-JP"/>
    </w:rPr>
  </w:style>
  <w:style w:type="paragraph" w:styleId="Heading4">
    <w:name w:val="heading 4"/>
    <w:basedOn w:val="ListParagraph"/>
    <w:next w:val="Normal"/>
    <w:link w:val="Heading4Char"/>
    <w:uiPriority w:val="9"/>
    <w:unhideWhenUsed/>
    <w:qFormat/>
    <w:rsid w:val="00D8431D"/>
    <w:pPr>
      <w:numPr>
        <w:ilvl w:val="3"/>
        <w:numId w:val="2"/>
      </w:numPr>
      <w:snapToGrid w:val="0"/>
      <w:spacing w:after="240" w:line="240" w:lineRule="auto"/>
      <w:ind w:left="1440" w:firstLine="720"/>
      <w:contextualSpacing w:val="0"/>
      <w:jc w:val="both"/>
      <w:outlineLvl w:val="3"/>
    </w:pPr>
    <w:rPr>
      <w:rFonts w:ascii="Arial" w:hAnsi="Arial" w:cs="Arial"/>
      <w:b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10"/>
    <w:pPr>
      <w:ind w:left="720"/>
      <w:contextualSpacing/>
    </w:pPr>
  </w:style>
  <w:style w:type="character" w:styleId="CommentReference">
    <w:name w:val="annotation reference"/>
    <w:basedOn w:val="DefaultParagraphFont"/>
    <w:uiPriority w:val="99"/>
    <w:semiHidden/>
    <w:unhideWhenUsed/>
    <w:rsid w:val="000A36BF"/>
    <w:rPr>
      <w:sz w:val="16"/>
      <w:szCs w:val="16"/>
    </w:rPr>
  </w:style>
  <w:style w:type="paragraph" w:styleId="CommentText">
    <w:name w:val="annotation text"/>
    <w:basedOn w:val="Normal"/>
    <w:link w:val="CommentTextChar"/>
    <w:uiPriority w:val="99"/>
    <w:semiHidden/>
    <w:unhideWhenUsed/>
    <w:rsid w:val="000A36BF"/>
    <w:pPr>
      <w:spacing w:line="240" w:lineRule="auto"/>
    </w:pPr>
    <w:rPr>
      <w:sz w:val="20"/>
      <w:szCs w:val="20"/>
    </w:rPr>
  </w:style>
  <w:style w:type="character" w:customStyle="1" w:styleId="CommentTextChar">
    <w:name w:val="Comment Text Char"/>
    <w:basedOn w:val="DefaultParagraphFont"/>
    <w:link w:val="CommentText"/>
    <w:uiPriority w:val="99"/>
    <w:semiHidden/>
    <w:rsid w:val="000A36BF"/>
    <w:rPr>
      <w:sz w:val="20"/>
      <w:szCs w:val="20"/>
    </w:rPr>
  </w:style>
  <w:style w:type="paragraph" w:styleId="CommentSubject">
    <w:name w:val="annotation subject"/>
    <w:basedOn w:val="CommentText"/>
    <w:next w:val="CommentText"/>
    <w:link w:val="CommentSubjectChar"/>
    <w:uiPriority w:val="99"/>
    <w:semiHidden/>
    <w:unhideWhenUsed/>
    <w:rsid w:val="000A36BF"/>
    <w:rPr>
      <w:b/>
      <w:bCs/>
    </w:rPr>
  </w:style>
  <w:style w:type="character" w:customStyle="1" w:styleId="CommentSubjectChar">
    <w:name w:val="Comment Subject Char"/>
    <w:basedOn w:val="CommentTextChar"/>
    <w:link w:val="CommentSubject"/>
    <w:uiPriority w:val="99"/>
    <w:semiHidden/>
    <w:rsid w:val="000A36BF"/>
    <w:rPr>
      <w:b/>
      <w:bCs/>
      <w:sz w:val="20"/>
      <w:szCs w:val="20"/>
    </w:rPr>
  </w:style>
  <w:style w:type="paragraph" w:styleId="BalloonText">
    <w:name w:val="Balloon Text"/>
    <w:basedOn w:val="Normal"/>
    <w:link w:val="BalloonTextChar"/>
    <w:uiPriority w:val="99"/>
    <w:semiHidden/>
    <w:unhideWhenUsed/>
    <w:rsid w:val="000A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BF"/>
    <w:rPr>
      <w:rFonts w:ascii="Tahoma" w:hAnsi="Tahoma" w:cs="Tahoma"/>
      <w:sz w:val="16"/>
      <w:szCs w:val="16"/>
    </w:rPr>
  </w:style>
  <w:style w:type="character" w:customStyle="1" w:styleId="Heading2Char">
    <w:name w:val="Heading 2 Char"/>
    <w:basedOn w:val="DefaultParagraphFont"/>
    <w:link w:val="Heading2"/>
    <w:uiPriority w:val="9"/>
    <w:rsid w:val="00D8431D"/>
    <w:rPr>
      <w:rFonts w:ascii="Arial" w:hAnsi="Arial" w:cs="Arial"/>
      <w:bCs/>
      <w:color w:val="000000" w:themeColor="text1"/>
      <w:sz w:val="24"/>
      <w:szCs w:val="24"/>
      <w:lang w:eastAsia="ja-JP"/>
    </w:rPr>
  </w:style>
  <w:style w:type="character" w:customStyle="1" w:styleId="Heading3Char">
    <w:name w:val="Heading 3 Char"/>
    <w:basedOn w:val="DefaultParagraphFont"/>
    <w:link w:val="Heading3"/>
    <w:uiPriority w:val="9"/>
    <w:rsid w:val="00D8431D"/>
    <w:rPr>
      <w:rFonts w:ascii="Arial" w:hAnsi="Arial" w:cs="Arial"/>
      <w:bCs/>
      <w:color w:val="000000" w:themeColor="text1"/>
      <w:sz w:val="24"/>
      <w:szCs w:val="24"/>
      <w:lang w:eastAsia="ja-JP"/>
    </w:rPr>
  </w:style>
  <w:style w:type="character" w:customStyle="1" w:styleId="Heading4Char">
    <w:name w:val="Heading 4 Char"/>
    <w:basedOn w:val="DefaultParagraphFont"/>
    <w:link w:val="Heading4"/>
    <w:uiPriority w:val="9"/>
    <w:rsid w:val="00D8431D"/>
    <w:rPr>
      <w:rFonts w:ascii="Arial" w:hAnsi="Arial" w:cs="Arial"/>
      <w:bCs/>
      <w:color w:val="000000" w:themeColor="text1"/>
      <w:sz w:val="24"/>
      <w:szCs w:val="24"/>
      <w:lang w:eastAsia="ja-JP"/>
    </w:rPr>
  </w:style>
  <w:style w:type="paragraph" w:styleId="FootnoteText">
    <w:name w:val="footnote text"/>
    <w:basedOn w:val="Normal"/>
    <w:link w:val="FootnoteTextChar"/>
    <w:uiPriority w:val="99"/>
    <w:semiHidden/>
    <w:unhideWhenUsed/>
    <w:rsid w:val="00EB7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DD4"/>
    <w:rPr>
      <w:sz w:val="20"/>
      <w:szCs w:val="20"/>
    </w:rPr>
  </w:style>
  <w:style w:type="character" w:styleId="FootnoteReference">
    <w:name w:val="footnote reference"/>
    <w:basedOn w:val="DefaultParagraphFont"/>
    <w:uiPriority w:val="99"/>
    <w:semiHidden/>
    <w:unhideWhenUsed/>
    <w:rsid w:val="00EB7DD4"/>
    <w:rPr>
      <w:vertAlign w:val="superscript"/>
    </w:rPr>
  </w:style>
  <w:style w:type="character" w:styleId="Emphasis">
    <w:name w:val="Emphasis"/>
    <w:basedOn w:val="DefaultParagraphFont"/>
    <w:uiPriority w:val="20"/>
    <w:qFormat/>
    <w:rsid w:val="00F539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D8431D"/>
    <w:pPr>
      <w:numPr>
        <w:ilvl w:val="1"/>
        <w:numId w:val="2"/>
      </w:numPr>
      <w:snapToGrid w:val="0"/>
      <w:spacing w:after="240" w:line="240" w:lineRule="auto"/>
      <w:ind w:left="0" w:firstLine="720"/>
      <w:contextualSpacing w:val="0"/>
      <w:jc w:val="both"/>
      <w:outlineLvl w:val="1"/>
    </w:pPr>
    <w:rPr>
      <w:rFonts w:ascii="Arial" w:hAnsi="Arial" w:cs="Arial"/>
      <w:bCs/>
      <w:color w:val="000000" w:themeColor="text1"/>
      <w:sz w:val="24"/>
      <w:szCs w:val="24"/>
      <w:lang w:eastAsia="ja-JP"/>
    </w:rPr>
  </w:style>
  <w:style w:type="paragraph" w:styleId="Heading3">
    <w:name w:val="heading 3"/>
    <w:basedOn w:val="ListParagraph"/>
    <w:next w:val="Normal"/>
    <w:link w:val="Heading3Char"/>
    <w:uiPriority w:val="9"/>
    <w:unhideWhenUsed/>
    <w:qFormat/>
    <w:rsid w:val="00D8431D"/>
    <w:pPr>
      <w:numPr>
        <w:ilvl w:val="2"/>
        <w:numId w:val="2"/>
      </w:numPr>
      <w:snapToGrid w:val="0"/>
      <w:spacing w:after="240" w:line="240" w:lineRule="auto"/>
      <w:ind w:left="720" w:firstLine="720"/>
      <w:contextualSpacing w:val="0"/>
      <w:jc w:val="both"/>
      <w:outlineLvl w:val="2"/>
    </w:pPr>
    <w:rPr>
      <w:rFonts w:ascii="Arial" w:hAnsi="Arial" w:cs="Arial"/>
      <w:bCs/>
      <w:color w:val="000000" w:themeColor="text1"/>
      <w:sz w:val="24"/>
      <w:szCs w:val="24"/>
      <w:lang w:eastAsia="ja-JP"/>
    </w:rPr>
  </w:style>
  <w:style w:type="paragraph" w:styleId="Heading4">
    <w:name w:val="heading 4"/>
    <w:basedOn w:val="ListParagraph"/>
    <w:next w:val="Normal"/>
    <w:link w:val="Heading4Char"/>
    <w:uiPriority w:val="9"/>
    <w:unhideWhenUsed/>
    <w:qFormat/>
    <w:rsid w:val="00D8431D"/>
    <w:pPr>
      <w:numPr>
        <w:ilvl w:val="3"/>
        <w:numId w:val="2"/>
      </w:numPr>
      <w:snapToGrid w:val="0"/>
      <w:spacing w:after="240" w:line="240" w:lineRule="auto"/>
      <w:ind w:left="1440" w:firstLine="720"/>
      <w:contextualSpacing w:val="0"/>
      <w:jc w:val="both"/>
      <w:outlineLvl w:val="3"/>
    </w:pPr>
    <w:rPr>
      <w:rFonts w:ascii="Arial" w:hAnsi="Arial" w:cs="Arial"/>
      <w:b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10"/>
    <w:pPr>
      <w:ind w:left="720"/>
      <w:contextualSpacing/>
    </w:pPr>
  </w:style>
  <w:style w:type="character" w:styleId="CommentReference">
    <w:name w:val="annotation reference"/>
    <w:basedOn w:val="DefaultParagraphFont"/>
    <w:uiPriority w:val="99"/>
    <w:semiHidden/>
    <w:unhideWhenUsed/>
    <w:rsid w:val="000A36BF"/>
    <w:rPr>
      <w:sz w:val="16"/>
      <w:szCs w:val="16"/>
    </w:rPr>
  </w:style>
  <w:style w:type="paragraph" w:styleId="CommentText">
    <w:name w:val="annotation text"/>
    <w:basedOn w:val="Normal"/>
    <w:link w:val="CommentTextChar"/>
    <w:uiPriority w:val="99"/>
    <w:semiHidden/>
    <w:unhideWhenUsed/>
    <w:rsid w:val="000A36BF"/>
    <w:pPr>
      <w:spacing w:line="240" w:lineRule="auto"/>
    </w:pPr>
    <w:rPr>
      <w:sz w:val="20"/>
      <w:szCs w:val="20"/>
    </w:rPr>
  </w:style>
  <w:style w:type="character" w:customStyle="1" w:styleId="CommentTextChar">
    <w:name w:val="Comment Text Char"/>
    <w:basedOn w:val="DefaultParagraphFont"/>
    <w:link w:val="CommentText"/>
    <w:uiPriority w:val="99"/>
    <w:semiHidden/>
    <w:rsid w:val="000A36BF"/>
    <w:rPr>
      <w:sz w:val="20"/>
      <w:szCs w:val="20"/>
    </w:rPr>
  </w:style>
  <w:style w:type="paragraph" w:styleId="CommentSubject">
    <w:name w:val="annotation subject"/>
    <w:basedOn w:val="CommentText"/>
    <w:next w:val="CommentText"/>
    <w:link w:val="CommentSubjectChar"/>
    <w:uiPriority w:val="99"/>
    <w:semiHidden/>
    <w:unhideWhenUsed/>
    <w:rsid w:val="000A36BF"/>
    <w:rPr>
      <w:b/>
      <w:bCs/>
    </w:rPr>
  </w:style>
  <w:style w:type="character" w:customStyle="1" w:styleId="CommentSubjectChar">
    <w:name w:val="Comment Subject Char"/>
    <w:basedOn w:val="CommentTextChar"/>
    <w:link w:val="CommentSubject"/>
    <w:uiPriority w:val="99"/>
    <w:semiHidden/>
    <w:rsid w:val="000A36BF"/>
    <w:rPr>
      <w:b/>
      <w:bCs/>
      <w:sz w:val="20"/>
      <w:szCs w:val="20"/>
    </w:rPr>
  </w:style>
  <w:style w:type="paragraph" w:styleId="BalloonText">
    <w:name w:val="Balloon Text"/>
    <w:basedOn w:val="Normal"/>
    <w:link w:val="BalloonTextChar"/>
    <w:uiPriority w:val="99"/>
    <w:semiHidden/>
    <w:unhideWhenUsed/>
    <w:rsid w:val="000A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BF"/>
    <w:rPr>
      <w:rFonts w:ascii="Tahoma" w:hAnsi="Tahoma" w:cs="Tahoma"/>
      <w:sz w:val="16"/>
      <w:szCs w:val="16"/>
    </w:rPr>
  </w:style>
  <w:style w:type="character" w:customStyle="1" w:styleId="Heading2Char">
    <w:name w:val="Heading 2 Char"/>
    <w:basedOn w:val="DefaultParagraphFont"/>
    <w:link w:val="Heading2"/>
    <w:uiPriority w:val="9"/>
    <w:rsid w:val="00D8431D"/>
    <w:rPr>
      <w:rFonts w:ascii="Arial" w:hAnsi="Arial" w:cs="Arial"/>
      <w:bCs/>
      <w:color w:val="000000" w:themeColor="text1"/>
      <w:sz w:val="24"/>
      <w:szCs w:val="24"/>
      <w:lang w:eastAsia="ja-JP"/>
    </w:rPr>
  </w:style>
  <w:style w:type="character" w:customStyle="1" w:styleId="Heading3Char">
    <w:name w:val="Heading 3 Char"/>
    <w:basedOn w:val="DefaultParagraphFont"/>
    <w:link w:val="Heading3"/>
    <w:uiPriority w:val="9"/>
    <w:rsid w:val="00D8431D"/>
    <w:rPr>
      <w:rFonts w:ascii="Arial" w:hAnsi="Arial" w:cs="Arial"/>
      <w:bCs/>
      <w:color w:val="000000" w:themeColor="text1"/>
      <w:sz w:val="24"/>
      <w:szCs w:val="24"/>
      <w:lang w:eastAsia="ja-JP"/>
    </w:rPr>
  </w:style>
  <w:style w:type="character" w:customStyle="1" w:styleId="Heading4Char">
    <w:name w:val="Heading 4 Char"/>
    <w:basedOn w:val="DefaultParagraphFont"/>
    <w:link w:val="Heading4"/>
    <w:uiPriority w:val="9"/>
    <w:rsid w:val="00D8431D"/>
    <w:rPr>
      <w:rFonts w:ascii="Arial" w:hAnsi="Arial" w:cs="Arial"/>
      <w:bCs/>
      <w:color w:val="000000" w:themeColor="text1"/>
      <w:sz w:val="24"/>
      <w:szCs w:val="24"/>
      <w:lang w:eastAsia="ja-JP"/>
    </w:rPr>
  </w:style>
  <w:style w:type="paragraph" w:styleId="FootnoteText">
    <w:name w:val="footnote text"/>
    <w:basedOn w:val="Normal"/>
    <w:link w:val="FootnoteTextChar"/>
    <w:uiPriority w:val="99"/>
    <w:semiHidden/>
    <w:unhideWhenUsed/>
    <w:rsid w:val="00EB7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DD4"/>
    <w:rPr>
      <w:sz w:val="20"/>
      <w:szCs w:val="20"/>
    </w:rPr>
  </w:style>
  <w:style w:type="character" w:styleId="FootnoteReference">
    <w:name w:val="footnote reference"/>
    <w:basedOn w:val="DefaultParagraphFont"/>
    <w:uiPriority w:val="99"/>
    <w:semiHidden/>
    <w:unhideWhenUsed/>
    <w:rsid w:val="00EB7DD4"/>
    <w:rPr>
      <w:vertAlign w:val="superscript"/>
    </w:rPr>
  </w:style>
  <w:style w:type="character" w:styleId="Emphasis">
    <w:name w:val="Emphasis"/>
    <w:basedOn w:val="DefaultParagraphFont"/>
    <w:uiPriority w:val="20"/>
    <w:qFormat/>
    <w:rsid w:val="00F53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4794-9345-4078-8C31-C92C689A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 Soderna</dc:creator>
  <cp:lastModifiedBy>Julie L. Soderna</cp:lastModifiedBy>
  <cp:revision>8</cp:revision>
  <dcterms:created xsi:type="dcterms:W3CDTF">2020-06-09T21:56:00Z</dcterms:created>
  <dcterms:modified xsi:type="dcterms:W3CDTF">2020-06-10T18:23:00Z</dcterms:modified>
</cp:coreProperties>
</file>