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5A8DF" w14:textId="4A45C7DA" w:rsidR="0000198F" w:rsidRPr="0003252B" w:rsidRDefault="0000198F" w:rsidP="0000198F">
      <w:pPr>
        <w:jc w:val="center"/>
        <w:rPr>
          <w:rFonts w:eastAsia="Times New Roman" w:cs="Times New Roman"/>
          <w:b/>
          <w:szCs w:val="24"/>
        </w:rPr>
      </w:pPr>
      <w:bookmarkStart w:id="0" w:name="_GoBack"/>
      <w:bookmarkEnd w:id="0"/>
      <w:r w:rsidRPr="0003252B">
        <w:rPr>
          <w:rFonts w:eastAsia="Times New Roman" w:cs="Times New Roman"/>
          <w:b/>
          <w:szCs w:val="24"/>
        </w:rPr>
        <w:t>BEFORE THE PUBLIC SERVICE COMMISSION</w:t>
      </w:r>
    </w:p>
    <w:p w14:paraId="387C6906" w14:textId="77777777" w:rsidR="0000198F" w:rsidRPr="0003252B" w:rsidRDefault="0000198F" w:rsidP="0000198F">
      <w:pPr>
        <w:jc w:val="center"/>
        <w:rPr>
          <w:rFonts w:eastAsia="Times New Roman" w:cs="Times New Roman"/>
          <w:b/>
          <w:szCs w:val="24"/>
        </w:rPr>
      </w:pPr>
      <w:r w:rsidRPr="0003252B">
        <w:rPr>
          <w:rFonts w:eastAsia="Times New Roman" w:cs="Times New Roman"/>
          <w:b/>
          <w:szCs w:val="24"/>
        </w:rPr>
        <w:t>OF THE STATE OF DELAWARE</w:t>
      </w:r>
    </w:p>
    <w:p w14:paraId="17D5E851" w14:textId="77777777" w:rsidR="0000198F" w:rsidRPr="0003252B" w:rsidRDefault="0000198F" w:rsidP="0000198F">
      <w:pPr>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298"/>
        <w:gridCol w:w="3685"/>
      </w:tblGrid>
      <w:tr w:rsidR="0000198F" w14:paraId="3EF38810" w14:textId="77777777" w:rsidTr="00ED1212">
        <w:tc>
          <w:tcPr>
            <w:tcW w:w="5367" w:type="dxa"/>
          </w:tcPr>
          <w:p w14:paraId="043E3CCD" w14:textId="77777777" w:rsidR="0000198F" w:rsidRPr="0000198F" w:rsidRDefault="0000198F" w:rsidP="00ED1212">
            <w:pPr>
              <w:tabs>
                <w:tab w:val="left" w:pos="5040"/>
              </w:tabs>
              <w:rPr>
                <w:rFonts w:eastAsia="Times New Roman"/>
              </w:rPr>
            </w:pPr>
            <w:r w:rsidRPr="0000198F">
              <w:rPr>
                <w:rFonts w:eastAsia="Times New Roman"/>
              </w:rPr>
              <w:t>IN THE MATTER OF THE STATE OF EMERGENCY FOR THE STATE OF DELAWARE DUE TO A PUBLIC HEALTH THREAT</w:t>
            </w:r>
          </w:p>
          <w:p w14:paraId="62AF41FD" w14:textId="68CC6213" w:rsidR="0000198F" w:rsidRPr="0000198F" w:rsidRDefault="0000198F" w:rsidP="00ED1212">
            <w:pPr>
              <w:tabs>
                <w:tab w:val="left" w:pos="5040"/>
              </w:tabs>
              <w:rPr>
                <w:rFonts w:eastAsia="Times New Roman"/>
                <w:b/>
                <w:bCs/>
              </w:rPr>
            </w:pPr>
            <w:r w:rsidRPr="0000198F">
              <w:rPr>
                <w:rFonts w:eastAsia="Times New Roman"/>
                <w:b/>
                <w:bCs/>
              </w:rPr>
              <w:t>(</w:t>
            </w:r>
            <w:r w:rsidR="009E3B09">
              <w:rPr>
                <w:rFonts w:eastAsia="Times New Roman"/>
                <w:b/>
                <w:bCs/>
              </w:rPr>
              <w:t>OPENED APRIL 27, 2020</w:t>
            </w:r>
            <w:r w:rsidR="00B04CD9">
              <w:rPr>
                <w:rFonts w:eastAsia="Times New Roman"/>
                <w:b/>
                <w:bCs/>
              </w:rPr>
              <w:t>)</w:t>
            </w:r>
            <w:r w:rsidRPr="0000198F">
              <w:rPr>
                <w:rFonts w:eastAsia="Times New Roman"/>
                <w:b/>
                <w:bCs/>
              </w:rPr>
              <w:tab/>
            </w:r>
          </w:p>
        </w:tc>
        <w:tc>
          <w:tcPr>
            <w:tcW w:w="298" w:type="dxa"/>
          </w:tcPr>
          <w:p w14:paraId="7883659E" w14:textId="77777777" w:rsidR="0000198F" w:rsidRPr="0000198F" w:rsidRDefault="0000198F" w:rsidP="00ED1212">
            <w:pPr>
              <w:tabs>
                <w:tab w:val="left" w:pos="5040"/>
              </w:tabs>
              <w:jc w:val="both"/>
              <w:rPr>
                <w:rFonts w:eastAsia="Times New Roman"/>
              </w:rPr>
            </w:pPr>
            <w:r w:rsidRPr="0000198F">
              <w:rPr>
                <w:rFonts w:eastAsia="Times New Roman"/>
              </w:rPr>
              <w:t>)</w:t>
            </w:r>
          </w:p>
          <w:p w14:paraId="63DE4F04" w14:textId="77777777" w:rsidR="0000198F" w:rsidRPr="0000198F" w:rsidRDefault="0000198F" w:rsidP="00ED1212">
            <w:pPr>
              <w:tabs>
                <w:tab w:val="left" w:pos="5040"/>
              </w:tabs>
              <w:jc w:val="both"/>
            </w:pPr>
            <w:r w:rsidRPr="0000198F">
              <w:t>)</w:t>
            </w:r>
          </w:p>
          <w:p w14:paraId="628A2697" w14:textId="77777777" w:rsidR="0000198F" w:rsidRPr="0000198F" w:rsidRDefault="0000198F" w:rsidP="00ED1212">
            <w:pPr>
              <w:tabs>
                <w:tab w:val="left" w:pos="5040"/>
              </w:tabs>
              <w:jc w:val="both"/>
            </w:pPr>
            <w:r w:rsidRPr="0000198F">
              <w:t>)</w:t>
            </w:r>
          </w:p>
          <w:p w14:paraId="68F75C66" w14:textId="77777777" w:rsidR="0000198F" w:rsidRPr="0000198F" w:rsidRDefault="0000198F" w:rsidP="00ED1212">
            <w:pPr>
              <w:tabs>
                <w:tab w:val="left" w:pos="5040"/>
              </w:tabs>
              <w:jc w:val="both"/>
              <w:rPr>
                <w:rFonts w:eastAsia="Times New Roman"/>
              </w:rPr>
            </w:pPr>
            <w:r w:rsidRPr="0000198F">
              <w:t>)</w:t>
            </w:r>
          </w:p>
        </w:tc>
        <w:tc>
          <w:tcPr>
            <w:tcW w:w="3685" w:type="dxa"/>
          </w:tcPr>
          <w:p w14:paraId="74A0A452" w14:textId="77777777" w:rsidR="0000198F" w:rsidRPr="0000198F" w:rsidRDefault="0000198F" w:rsidP="00ED1212">
            <w:pPr>
              <w:tabs>
                <w:tab w:val="left" w:pos="5040"/>
              </w:tabs>
              <w:jc w:val="both"/>
              <w:rPr>
                <w:rFonts w:eastAsia="Times New Roman"/>
              </w:rPr>
            </w:pPr>
          </w:p>
          <w:p w14:paraId="51CCD3E0" w14:textId="77777777" w:rsidR="0000198F" w:rsidRPr="0000198F" w:rsidRDefault="0000198F" w:rsidP="00ED1212">
            <w:pPr>
              <w:tabs>
                <w:tab w:val="left" w:pos="5040"/>
              </w:tabs>
              <w:jc w:val="both"/>
            </w:pPr>
          </w:p>
          <w:p w14:paraId="39E91C68" w14:textId="77777777" w:rsidR="0000198F" w:rsidRPr="0000198F" w:rsidRDefault="0000198F" w:rsidP="00ED1212">
            <w:pPr>
              <w:tabs>
                <w:tab w:val="left" w:pos="5040"/>
              </w:tabs>
              <w:jc w:val="both"/>
              <w:rPr>
                <w:rFonts w:eastAsia="Times New Roman"/>
              </w:rPr>
            </w:pPr>
            <w:r w:rsidRPr="0000198F">
              <w:rPr>
                <w:rFonts w:eastAsia="Times New Roman"/>
              </w:rPr>
              <w:t>PSC DOCKET NO. 20-0286</w:t>
            </w:r>
          </w:p>
        </w:tc>
      </w:tr>
      <w:tr w:rsidR="0000198F" w14:paraId="7237C132" w14:textId="77777777" w:rsidTr="00ED1212">
        <w:tc>
          <w:tcPr>
            <w:tcW w:w="5367" w:type="dxa"/>
          </w:tcPr>
          <w:p w14:paraId="1FB7B631" w14:textId="77777777" w:rsidR="0000198F" w:rsidRPr="0000198F" w:rsidRDefault="0000198F" w:rsidP="00ED1212">
            <w:pPr>
              <w:tabs>
                <w:tab w:val="left" w:pos="5040"/>
              </w:tabs>
              <w:rPr>
                <w:rFonts w:eastAsia="Times New Roman"/>
              </w:rPr>
            </w:pPr>
          </w:p>
        </w:tc>
        <w:tc>
          <w:tcPr>
            <w:tcW w:w="298" w:type="dxa"/>
          </w:tcPr>
          <w:p w14:paraId="65D52A40" w14:textId="77777777" w:rsidR="0000198F" w:rsidRPr="0000198F" w:rsidRDefault="0000198F" w:rsidP="00ED1212">
            <w:pPr>
              <w:tabs>
                <w:tab w:val="left" w:pos="5040"/>
              </w:tabs>
              <w:jc w:val="both"/>
              <w:rPr>
                <w:rFonts w:eastAsia="Times New Roman"/>
              </w:rPr>
            </w:pPr>
          </w:p>
        </w:tc>
        <w:tc>
          <w:tcPr>
            <w:tcW w:w="3685" w:type="dxa"/>
          </w:tcPr>
          <w:p w14:paraId="3DC2B8C9" w14:textId="77777777" w:rsidR="0000198F" w:rsidRPr="0000198F" w:rsidRDefault="0000198F" w:rsidP="00ED1212">
            <w:pPr>
              <w:tabs>
                <w:tab w:val="left" w:pos="5040"/>
              </w:tabs>
              <w:jc w:val="both"/>
              <w:rPr>
                <w:rFonts w:eastAsia="Times New Roman"/>
              </w:rPr>
            </w:pPr>
          </w:p>
        </w:tc>
      </w:tr>
    </w:tbl>
    <w:p w14:paraId="5FFB949F" w14:textId="6E7F5156" w:rsidR="005330A3" w:rsidRDefault="0000198F" w:rsidP="0000198F">
      <w:pPr>
        <w:jc w:val="center"/>
        <w:rPr>
          <w:b/>
          <w:bCs/>
          <w:u w:val="single"/>
        </w:rPr>
      </w:pPr>
      <w:r>
        <w:rPr>
          <w:b/>
          <w:bCs/>
        </w:rPr>
        <w:t xml:space="preserve">THE DELAWARE DIVISION OF THE PUBLIC ADVOCATE’S RESPONSE TO THE PUBLIC SERVICE COMMISSION STAFF’S MOTION </w:t>
      </w:r>
      <w:r w:rsidR="005514A7">
        <w:rPr>
          <w:b/>
          <w:bCs/>
        </w:rPr>
        <w:t xml:space="preserve">FOR ORDER AUTHORIZING </w:t>
      </w:r>
      <w:r w:rsidR="005514A7" w:rsidRPr="005514A7">
        <w:rPr>
          <w:b/>
          <w:bCs/>
          <w:u w:val="single"/>
        </w:rPr>
        <w:t xml:space="preserve">REGULATORY ASSET FOR </w:t>
      </w:r>
      <w:r w:rsidR="00B44DAA">
        <w:rPr>
          <w:b/>
          <w:bCs/>
          <w:u w:val="single"/>
        </w:rPr>
        <w:t>COVID</w:t>
      </w:r>
      <w:r w:rsidR="005514A7" w:rsidRPr="005514A7">
        <w:rPr>
          <w:b/>
          <w:bCs/>
          <w:u w:val="single"/>
        </w:rPr>
        <w:t>-19 RELATED INCREMENTAL COSTS</w:t>
      </w:r>
    </w:p>
    <w:p w14:paraId="51818289" w14:textId="77777777" w:rsidR="005514A7" w:rsidRDefault="005514A7" w:rsidP="005514A7">
      <w:pPr>
        <w:rPr>
          <w:b/>
          <w:bCs/>
          <w:u w:val="single"/>
        </w:rPr>
      </w:pPr>
    </w:p>
    <w:p w14:paraId="70799563" w14:textId="256035FF" w:rsidR="005514A7" w:rsidRDefault="00270969" w:rsidP="00270969">
      <w:pPr>
        <w:spacing w:line="480" w:lineRule="auto"/>
        <w:ind w:firstLine="720"/>
        <w:jc w:val="both"/>
      </w:pPr>
      <w:r>
        <w:t xml:space="preserve">The Delaware Division of the Public Advocate (“DPA”) hereby responds to the Delaware Public Service Commission Staff’s (“Staff”) Motion for Order Authorizing Regulatory Asset for </w:t>
      </w:r>
      <w:r w:rsidR="00B44DAA">
        <w:t>COVID</w:t>
      </w:r>
      <w:r>
        <w:t>-19 Related Incremental Costs (“Motion”) as follows:</w:t>
      </w:r>
    </w:p>
    <w:p w14:paraId="0364EC15" w14:textId="3E6940BC" w:rsidR="00092678" w:rsidRDefault="00092678" w:rsidP="00092678">
      <w:pPr>
        <w:pStyle w:val="ListParagraph"/>
        <w:numPr>
          <w:ilvl w:val="0"/>
          <w:numId w:val="1"/>
        </w:numPr>
        <w:spacing w:line="480" w:lineRule="auto"/>
        <w:ind w:left="0" w:firstLine="720"/>
        <w:jc w:val="both"/>
      </w:pPr>
      <w:r>
        <w:t xml:space="preserve">At the outset, it </w:t>
      </w:r>
      <w:r w:rsidR="00B02304">
        <w:t xml:space="preserve">puzzles the DPA </w:t>
      </w:r>
      <w:r>
        <w:t xml:space="preserve">that Staff is requesting the Delaware Public Service Commission (“Commission”) to authorize Commission-regulated utilities to defer </w:t>
      </w:r>
      <w:r w:rsidR="00B44DAA">
        <w:t>COVID</w:t>
      </w:r>
      <w:r>
        <w:t>-19 related incremental costs.  Normally, the utilities themselves would request such treatment</w:t>
      </w:r>
      <w:r w:rsidR="00E14005">
        <w:t xml:space="preserve">, since </w:t>
      </w:r>
      <w:r w:rsidR="00E14005" w:rsidRPr="008E26C7">
        <w:t xml:space="preserve">each utility would have a greater understanding of the </w:t>
      </w:r>
      <w:r w:rsidR="00E14005">
        <w:t xml:space="preserve">potential </w:t>
      </w:r>
      <w:r w:rsidR="00E14005" w:rsidRPr="008E26C7">
        <w:t xml:space="preserve">impacts on </w:t>
      </w:r>
      <w:r w:rsidR="00E14005">
        <w:t xml:space="preserve">its </w:t>
      </w:r>
      <w:r w:rsidR="00E14005" w:rsidRPr="008E26C7">
        <w:t xml:space="preserve">own business, and whether those </w:t>
      </w:r>
      <w:r w:rsidR="00E14005">
        <w:t xml:space="preserve">possible </w:t>
      </w:r>
      <w:r w:rsidR="00E14005" w:rsidRPr="008E26C7">
        <w:t xml:space="preserve">impacts might be sufficient to </w:t>
      </w:r>
      <w:r w:rsidR="00E14005">
        <w:t>harm</w:t>
      </w:r>
      <w:r w:rsidR="00E14005" w:rsidRPr="008E26C7">
        <w:t xml:space="preserve"> </w:t>
      </w:r>
      <w:r w:rsidR="00B316CA">
        <w:t xml:space="preserve">its </w:t>
      </w:r>
      <w:r w:rsidR="00E14005" w:rsidRPr="008E26C7">
        <w:t>financial integrity</w:t>
      </w:r>
      <w:r w:rsidR="00B316CA">
        <w:t xml:space="preserve"> </w:t>
      </w:r>
      <w:r w:rsidR="00E14005" w:rsidRPr="008E26C7">
        <w:t xml:space="preserve">– </w:t>
      </w:r>
      <w:r w:rsidR="00BD54BE">
        <w:t xml:space="preserve">which, after all, is </w:t>
      </w:r>
      <w:r w:rsidR="00E14005" w:rsidRPr="008E26C7">
        <w:t xml:space="preserve">the primary </w:t>
      </w:r>
      <w:r w:rsidR="00B316CA">
        <w:t xml:space="preserve">requirement </w:t>
      </w:r>
      <w:r w:rsidR="00E14005" w:rsidRPr="008E26C7">
        <w:t xml:space="preserve">for seeking such extraordinary ratemaking treatment. </w:t>
      </w:r>
      <w:r w:rsidR="00E14005">
        <w:t xml:space="preserve"> </w:t>
      </w:r>
      <w:r w:rsidR="00E14005" w:rsidRPr="008E26C7">
        <w:t>Furthermore, it is the role of the Commission, and presumably its Staff, to balance the interests of the utilities and its captive customers</w:t>
      </w:r>
      <w:r w:rsidR="00FE1226">
        <w:t>;</w:t>
      </w:r>
      <w:r w:rsidR="008E5ABC">
        <w:t xml:space="preserve"> </w:t>
      </w:r>
      <w:r w:rsidR="00E14005" w:rsidRPr="008E26C7">
        <w:t xml:space="preserve">Staff’s </w:t>
      </w:r>
      <w:r w:rsidR="00FE1226">
        <w:t xml:space="preserve">Motion, however, </w:t>
      </w:r>
      <w:r w:rsidR="00E14005" w:rsidRPr="008E26C7">
        <w:t xml:space="preserve">focuses </w:t>
      </w:r>
      <w:r w:rsidR="00FE1226">
        <w:t xml:space="preserve">almost exclusively </w:t>
      </w:r>
      <w:r w:rsidR="00E14005" w:rsidRPr="008E26C7">
        <w:t>on the utilities.</w:t>
      </w:r>
      <w:r w:rsidR="00E14005">
        <w:t xml:space="preserve">  If this extraordinary treatment is</w:t>
      </w:r>
      <w:r w:rsidR="00F35177">
        <w:t xml:space="preserve"> granted</w:t>
      </w:r>
      <w:r w:rsidR="00E14005">
        <w:t xml:space="preserve">, the utilities will likely recover every </w:t>
      </w:r>
      <w:r w:rsidR="00551667">
        <w:t xml:space="preserve">dollar of </w:t>
      </w:r>
      <w:r w:rsidR="00E14005">
        <w:t xml:space="preserve">expense </w:t>
      </w:r>
      <w:r w:rsidR="00854558">
        <w:t xml:space="preserve">they </w:t>
      </w:r>
      <w:r w:rsidR="00E14005">
        <w:t>book to this regulatory asset</w:t>
      </w:r>
      <w:r w:rsidR="00551667">
        <w:t>,</w:t>
      </w:r>
      <w:r w:rsidR="00E14005">
        <w:t xml:space="preserve"> </w:t>
      </w:r>
      <w:r w:rsidR="00E14005" w:rsidRPr="001A233A">
        <w:rPr>
          <w:i/>
          <w:iCs/>
        </w:rPr>
        <w:t>and</w:t>
      </w:r>
      <w:r w:rsidR="00E14005">
        <w:t xml:space="preserve"> earn a profit</w:t>
      </w:r>
      <w:r w:rsidR="00551667">
        <w:t xml:space="preserve"> on them</w:t>
      </w:r>
      <w:r w:rsidR="00E14005">
        <w:t>. The</w:t>
      </w:r>
      <w:r w:rsidR="004C0E02">
        <w:t>y will</w:t>
      </w:r>
      <w:r w:rsidR="00E14005">
        <w:t xml:space="preserve"> be made whole, and then some.  </w:t>
      </w:r>
    </w:p>
    <w:p w14:paraId="6EB41A47" w14:textId="36EF5800" w:rsidR="00365395" w:rsidRDefault="00365395" w:rsidP="00092678">
      <w:pPr>
        <w:pStyle w:val="ListParagraph"/>
        <w:numPr>
          <w:ilvl w:val="0"/>
          <w:numId w:val="1"/>
        </w:numPr>
        <w:spacing w:line="480" w:lineRule="auto"/>
        <w:ind w:left="0" w:firstLine="720"/>
        <w:jc w:val="both"/>
      </w:pPr>
      <w:r>
        <w:lastRenderedPageBreak/>
        <w:t>Staff’s Motion is ostensibly based on the Governor’s Sixth Modification to the State of Emergency</w:t>
      </w:r>
      <w:r w:rsidR="0062242F">
        <w:t xml:space="preserve"> (“Sixth SOE Modification”)</w:t>
      </w:r>
      <w:r>
        <w:t>, which was issued on March 2</w:t>
      </w:r>
      <w:r w:rsidR="0062242F">
        <w:t>4</w:t>
      </w:r>
      <w:r>
        <w:t>, 2020</w:t>
      </w:r>
      <w:r w:rsidR="0062242F">
        <w:t xml:space="preserve"> and became effective on March 25, 2020</w:t>
      </w:r>
      <w:r>
        <w:t>.</w:t>
      </w:r>
      <w:r w:rsidR="00252D96">
        <w:rPr>
          <w:rStyle w:val="FootnoteReference"/>
        </w:rPr>
        <w:footnoteReference w:id="1"/>
      </w:r>
      <w:r>
        <w:t xml:space="preserve">  </w:t>
      </w:r>
      <w:r w:rsidR="0062242F">
        <w:t>The Sixth SOE Modification provides:</w:t>
      </w:r>
    </w:p>
    <w:p w14:paraId="44B240D0" w14:textId="192957F5" w:rsidR="0062242F" w:rsidRPr="0062242F" w:rsidRDefault="0062242F" w:rsidP="00587B19">
      <w:pPr>
        <w:pStyle w:val="NormalWeb"/>
        <w:spacing w:before="0" w:beforeAutospacing="0" w:after="150" w:afterAutospacing="0"/>
        <w:ind w:left="1080" w:right="720"/>
        <w:jc w:val="both"/>
        <w:rPr>
          <w:color w:val="333333"/>
        </w:rPr>
      </w:pPr>
      <w:r w:rsidRPr="0062242F">
        <w:rPr>
          <w:rStyle w:val="Strong"/>
          <w:color w:val="333333"/>
        </w:rPr>
        <w:t>D. UTILITIES:</w:t>
      </w:r>
      <w:r w:rsidRPr="0062242F">
        <w:rPr>
          <w:color w:val="333333"/>
        </w:rPr>
        <w:t xml:space="preserve"> To reduce the threat to human health caused by </w:t>
      </w:r>
      <w:r w:rsidR="00B44DAA">
        <w:rPr>
          <w:color w:val="333333"/>
        </w:rPr>
        <w:t>COVID</w:t>
      </w:r>
      <w:r w:rsidRPr="0062242F">
        <w:rPr>
          <w:color w:val="333333"/>
        </w:rPr>
        <w:t xml:space="preserve">-19 in Delaware, protect the health and safety of utility employees and customers, and save lives, it is necessary and reasonable that </w:t>
      </w:r>
      <w:r w:rsidRPr="0062242F">
        <w:rPr>
          <w:i/>
          <w:iCs/>
          <w:color w:val="333333"/>
        </w:rPr>
        <w:t xml:space="preserve">residential </w:t>
      </w:r>
      <w:r w:rsidRPr="0062242F">
        <w:rPr>
          <w:color w:val="333333"/>
        </w:rPr>
        <w:t xml:space="preserve">service companies not terminate service to </w:t>
      </w:r>
      <w:r w:rsidRPr="0062242F">
        <w:rPr>
          <w:i/>
          <w:iCs/>
          <w:color w:val="333333"/>
        </w:rPr>
        <w:t>dwellings or residents</w:t>
      </w:r>
      <w:r w:rsidRPr="0062242F">
        <w:rPr>
          <w:color w:val="333333"/>
        </w:rPr>
        <w:t xml:space="preserve"> or charge fees for late or untimely payments for services to </w:t>
      </w:r>
      <w:r w:rsidRPr="0062242F">
        <w:rPr>
          <w:i/>
          <w:iCs/>
          <w:color w:val="333333"/>
        </w:rPr>
        <w:t>residential dwellings</w:t>
      </w:r>
      <w:r w:rsidRPr="0062242F">
        <w:rPr>
          <w:color w:val="333333"/>
        </w:rPr>
        <w:t>, and therefore it is ordered that, during the state of emergency:</w:t>
      </w:r>
    </w:p>
    <w:p w14:paraId="0880B20B" w14:textId="77777777" w:rsidR="00587B19" w:rsidRDefault="0062242F" w:rsidP="00587B19">
      <w:pPr>
        <w:pStyle w:val="NormalWeb"/>
        <w:spacing w:before="0" w:beforeAutospacing="0" w:after="0" w:afterAutospacing="0"/>
        <w:ind w:left="1080" w:right="720"/>
        <w:jc w:val="both"/>
        <w:rPr>
          <w:color w:val="333333"/>
        </w:rPr>
      </w:pPr>
      <w:r w:rsidRPr="0062242F">
        <w:rPr>
          <w:color w:val="333333"/>
        </w:rPr>
        <w:t xml:space="preserve">1. No electric, natural gas, propane, telegraph, telephone, water, wastewater, cable television, or internet service provider, including municipalities, counties, and cooperatives (a “Residential Service Provider”), shall terminate the service of a customer </w:t>
      </w:r>
      <w:r w:rsidRPr="0062242F">
        <w:rPr>
          <w:i/>
          <w:iCs/>
          <w:color w:val="333333"/>
        </w:rPr>
        <w:t>if the service is used, in whole or in part, in a dwelling unit or residence</w:t>
      </w:r>
      <w:r w:rsidRPr="0062242F">
        <w:rPr>
          <w:color w:val="333333"/>
        </w:rPr>
        <w:t>.</w:t>
      </w:r>
    </w:p>
    <w:p w14:paraId="41224470" w14:textId="7C13390D" w:rsidR="003C7976" w:rsidRDefault="0062242F" w:rsidP="00587B19">
      <w:pPr>
        <w:pStyle w:val="NormalWeb"/>
        <w:spacing w:before="0" w:beforeAutospacing="0" w:after="0" w:afterAutospacing="0"/>
        <w:ind w:left="1080" w:right="720"/>
        <w:jc w:val="both"/>
        <w:rPr>
          <w:color w:val="333333"/>
        </w:rPr>
      </w:pPr>
      <w:r w:rsidRPr="0062242F">
        <w:rPr>
          <w:color w:val="333333"/>
        </w:rPr>
        <w:br/>
        <w:t xml:space="preserve">2. </w:t>
      </w:r>
      <w:r w:rsidRPr="0062242F">
        <w:rPr>
          <w:i/>
          <w:iCs/>
          <w:color w:val="333333"/>
        </w:rPr>
        <w:t>A Residential Service Provider shall not bill or collect, on an account that serves a dwelling unit or residence</w:t>
      </w:r>
      <w:r w:rsidRPr="0062242F">
        <w:rPr>
          <w:color w:val="333333"/>
        </w:rPr>
        <w:t>, any fee or charge imposed for a late or otherwise untimely payment that becomes due from the date of this Order.</w:t>
      </w:r>
    </w:p>
    <w:p w14:paraId="07DB4168" w14:textId="77777777" w:rsidR="003C7976" w:rsidRDefault="0062242F" w:rsidP="00587B19">
      <w:pPr>
        <w:pStyle w:val="NormalWeb"/>
        <w:spacing w:before="0" w:beforeAutospacing="0" w:after="0" w:afterAutospacing="0"/>
        <w:ind w:left="1080" w:right="720"/>
        <w:jc w:val="both"/>
        <w:rPr>
          <w:color w:val="333333"/>
        </w:rPr>
      </w:pPr>
      <w:r w:rsidRPr="0062242F">
        <w:rPr>
          <w:color w:val="333333"/>
        </w:rPr>
        <w:br/>
        <w:t>3. The Public Service Commission has the authority to enforce and carry out this Section D against all Residential Service Providers utilizing its penalty authority under § 217 of Title 26 of the Delaware Code. A violation of this Section D shall also be deemed an unlawful practice under § 2513 of Title 6 of the Delaware Code and a violation of Subchapter II of Chapter 25, Title 6 of the Delaware Code.</w:t>
      </w:r>
    </w:p>
    <w:p w14:paraId="056D4D6C" w14:textId="2A0B7F7A" w:rsidR="0062242F" w:rsidRDefault="0062242F" w:rsidP="00587B19">
      <w:pPr>
        <w:pStyle w:val="NormalWeb"/>
        <w:spacing w:before="0" w:beforeAutospacing="0" w:after="0" w:afterAutospacing="0"/>
        <w:ind w:left="1080" w:right="720"/>
        <w:jc w:val="both"/>
        <w:rPr>
          <w:color w:val="333333"/>
        </w:rPr>
      </w:pPr>
      <w:r w:rsidRPr="0062242F">
        <w:rPr>
          <w:color w:val="333333"/>
        </w:rPr>
        <w:br/>
        <w:t>4. The effect of any statute, rule, or regulation of an agency of the State or a political subdivision inconsistent with this order is hereby suspended.</w:t>
      </w:r>
      <w:r w:rsidR="0052530F">
        <w:rPr>
          <w:rStyle w:val="FootnoteReference"/>
          <w:color w:val="333333"/>
        </w:rPr>
        <w:footnoteReference w:id="2"/>
      </w:r>
    </w:p>
    <w:p w14:paraId="162621DF" w14:textId="77777777" w:rsidR="005F62A5" w:rsidRPr="0062242F" w:rsidRDefault="005F62A5" w:rsidP="003C7976">
      <w:pPr>
        <w:pStyle w:val="NormalWeb"/>
        <w:spacing w:before="0" w:beforeAutospacing="0" w:after="0" w:afterAutospacing="0"/>
        <w:ind w:left="1080"/>
        <w:rPr>
          <w:color w:val="333333"/>
        </w:rPr>
      </w:pPr>
    </w:p>
    <w:p w14:paraId="65BBD0E7" w14:textId="0170B202" w:rsidR="009F1973" w:rsidRPr="009F1973" w:rsidRDefault="00BC4D19" w:rsidP="00D44A4D">
      <w:pPr>
        <w:pStyle w:val="ListParagraph"/>
        <w:numPr>
          <w:ilvl w:val="0"/>
          <w:numId w:val="1"/>
        </w:numPr>
        <w:autoSpaceDE w:val="0"/>
        <w:autoSpaceDN w:val="0"/>
        <w:adjustRightInd w:val="0"/>
        <w:spacing w:line="480" w:lineRule="auto"/>
        <w:ind w:left="0" w:firstLine="720"/>
        <w:jc w:val="both"/>
        <w:rPr>
          <w:rFonts w:cs="Times New Roman"/>
          <w:szCs w:val="24"/>
        </w:rPr>
      </w:pPr>
      <w:r>
        <w:t xml:space="preserve">The DPA objects to </w:t>
      </w:r>
      <w:r w:rsidR="00587B19">
        <w:t xml:space="preserve">Staff’s Motion to </w:t>
      </w:r>
      <w:r>
        <w:t>authoriz</w:t>
      </w:r>
      <w:r w:rsidR="00587B19">
        <w:t>e deferred</w:t>
      </w:r>
      <w:r>
        <w:t xml:space="preserve"> accounting treatment for </w:t>
      </w:r>
      <w:r w:rsidR="00B44DAA">
        <w:t>COVID</w:t>
      </w:r>
      <w:r>
        <w:t>-19 related costs</w:t>
      </w:r>
      <w:r w:rsidR="00442A09">
        <w:t xml:space="preserve"> for several reasons</w:t>
      </w:r>
      <w:r>
        <w:t xml:space="preserve">.  </w:t>
      </w:r>
      <w:r w:rsidR="00D44A4D">
        <w:t>First</w:t>
      </w:r>
      <w:r w:rsidR="00C30AF2">
        <w:t>:</w:t>
      </w:r>
      <w:r w:rsidR="00D44A4D">
        <w:t xml:space="preserve"> </w:t>
      </w:r>
      <w:r w:rsidR="00C30AF2">
        <w:t>T</w:t>
      </w:r>
      <w:r w:rsidR="009F1973">
        <w:t>he DPA questions whether there is really an emergency</w:t>
      </w:r>
      <w:r w:rsidR="00533E64">
        <w:t xml:space="preserve"> necessitating extraordinary treatment</w:t>
      </w:r>
      <w:r w:rsidR="009F1973">
        <w:t xml:space="preserve"> for the utilities.  Two </w:t>
      </w:r>
      <w:r w:rsidR="00B4600D">
        <w:t xml:space="preserve">of the five </w:t>
      </w:r>
      <w:r w:rsidR="009F1973">
        <w:t>utiliti</w:t>
      </w:r>
      <w:r w:rsidR="00112CEC">
        <w:t>es seeking</w:t>
      </w:r>
      <w:r w:rsidR="00B4600D">
        <w:t xml:space="preserve"> this extraordinary treatment</w:t>
      </w:r>
      <w:r w:rsidR="009F1973">
        <w:t xml:space="preserve"> have represented to the DPA that they are </w:t>
      </w:r>
      <w:r w:rsidR="00F32C3E">
        <w:t xml:space="preserve">continuing to carry </w:t>
      </w:r>
      <w:r w:rsidR="009F1973">
        <w:t xml:space="preserve">out </w:t>
      </w:r>
      <w:r w:rsidR="00F32C3E">
        <w:t xml:space="preserve">their </w:t>
      </w:r>
      <w:r w:rsidR="009F1973">
        <w:t>capital projects as if nothing has changed.</w:t>
      </w:r>
      <w:r w:rsidR="006E5666">
        <w:t xml:space="preserve">  </w:t>
      </w:r>
      <w:r w:rsidR="0075611E" w:rsidRPr="008E2DDB">
        <w:t>I</w:t>
      </w:r>
      <w:r w:rsidR="0075611E">
        <w:t xml:space="preserve">t </w:t>
      </w:r>
      <w:r w:rsidR="008E2DDB">
        <w:t xml:space="preserve">would </w:t>
      </w:r>
      <w:r w:rsidR="0075611E">
        <w:t xml:space="preserve">seem that if the utilities are in </w:t>
      </w:r>
      <w:r w:rsidR="0075611E">
        <w:lastRenderedPageBreak/>
        <w:t>such dire</w:t>
      </w:r>
      <w:r w:rsidR="00193F12">
        <w:t xml:space="preserve"> financial straits</w:t>
      </w:r>
      <w:r w:rsidR="0075611E">
        <w:t xml:space="preserve">, they </w:t>
      </w:r>
      <w:r w:rsidR="00CB1FD5">
        <w:t>w</w:t>
      </w:r>
      <w:r w:rsidR="0075611E">
        <w:t xml:space="preserve">ould suspend their </w:t>
      </w:r>
      <w:r w:rsidR="00193F12">
        <w:t xml:space="preserve">discretionary </w:t>
      </w:r>
      <w:r w:rsidR="0075611E">
        <w:t>capital projects until such time as the</w:t>
      </w:r>
      <w:r w:rsidR="00861B00">
        <w:t xml:space="preserve"> emergency has passed</w:t>
      </w:r>
      <w:r w:rsidR="0075611E">
        <w:t xml:space="preserve">. </w:t>
      </w:r>
    </w:p>
    <w:p w14:paraId="51C19182" w14:textId="4559D9A2" w:rsidR="00C90612" w:rsidRPr="00C90612" w:rsidRDefault="004A1286" w:rsidP="00D44A4D">
      <w:pPr>
        <w:pStyle w:val="ListParagraph"/>
        <w:numPr>
          <w:ilvl w:val="0"/>
          <w:numId w:val="1"/>
        </w:numPr>
        <w:autoSpaceDE w:val="0"/>
        <w:autoSpaceDN w:val="0"/>
        <w:adjustRightInd w:val="0"/>
        <w:spacing w:line="480" w:lineRule="auto"/>
        <w:ind w:left="0" w:firstLine="720"/>
        <w:jc w:val="both"/>
        <w:rPr>
          <w:rFonts w:cs="Times New Roman"/>
          <w:szCs w:val="24"/>
        </w:rPr>
      </w:pPr>
      <w:r>
        <w:t>Second</w:t>
      </w:r>
      <w:r w:rsidR="006F47E0">
        <w:t>:</w:t>
      </w:r>
      <w:r>
        <w:t xml:space="preserve"> </w:t>
      </w:r>
      <w:r w:rsidR="006F47E0">
        <w:t>D</w:t>
      </w:r>
      <w:r w:rsidR="00BC4D19">
        <w:t>eferred accounting treatment is reserved for items that are likely to have a significant effect on a utility’s financial integrity</w:t>
      </w:r>
      <w:r w:rsidR="00C90612">
        <w:t>.</w:t>
      </w:r>
      <w:r w:rsidR="00BC4D19">
        <w:t xml:space="preserve"> </w:t>
      </w:r>
      <w:r w:rsidR="00C90612">
        <w:t xml:space="preserve"> </w:t>
      </w:r>
      <w:r w:rsidR="0057380E">
        <w:t xml:space="preserve">While the DPA asked questions on the only phone call relating to the matter, and followed up by e-mail to all the utilities, only one utility has proffered a response.  The other utilities have thus far not engaged in dialogue with the DPA to discuss the financial harm, potential costs, or current measures </w:t>
      </w:r>
      <w:r w:rsidR="008C2928">
        <w:t xml:space="preserve">being </w:t>
      </w:r>
      <w:r w:rsidR="0057380E">
        <w:t>taken by those utilities.  Perhaps this is because t</w:t>
      </w:r>
      <w:r w:rsidR="00BC4D19">
        <w:t xml:space="preserve">here is no evidence </w:t>
      </w:r>
      <w:r w:rsidR="00C90612">
        <w:t xml:space="preserve">here </w:t>
      </w:r>
      <w:r w:rsidR="00BC4D19">
        <w:t xml:space="preserve">that </w:t>
      </w:r>
      <w:r w:rsidR="00B44DAA">
        <w:t>COVID</w:t>
      </w:r>
      <w:r w:rsidR="00BC4D19">
        <w:t>-19 related costs will have such effect</w:t>
      </w:r>
      <w:r w:rsidR="00C90612">
        <w:t xml:space="preserve"> on Commission-regulated utilities; in fact, four of the five utilities on whose behalf Staff is requesting this treatment have declared dividends since the </w:t>
      </w:r>
      <w:r w:rsidR="00B44DAA">
        <w:t>COVID</w:t>
      </w:r>
      <w:r w:rsidR="00C90612">
        <w:t>-19 crisis erupted:</w:t>
      </w:r>
      <w:r w:rsidR="00BC4D19" w:rsidRPr="00D44A4D">
        <w:rPr>
          <w:rFonts w:cs="Times New Roman"/>
        </w:rPr>
        <w:t xml:space="preserve">  </w:t>
      </w:r>
    </w:p>
    <w:p w14:paraId="09F804B1" w14:textId="77777777" w:rsidR="00C90612" w:rsidRPr="00C90612" w:rsidRDefault="00C90612" w:rsidP="00C90612">
      <w:pPr>
        <w:pStyle w:val="ListParagraph"/>
        <w:numPr>
          <w:ilvl w:val="0"/>
          <w:numId w:val="4"/>
        </w:numPr>
        <w:autoSpaceDE w:val="0"/>
        <w:autoSpaceDN w:val="0"/>
        <w:adjustRightInd w:val="0"/>
        <w:jc w:val="both"/>
        <w:rPr>
          <w:rFonts w:cs="Times New Roman"/>
          <w:szCs w:val="24"/>
        </w:rPr>
      </w:pPr>
      <w:r w:rsidRPr="00C90612">
        <w:rPr>
          <w:rFonts w:cs="Times New Roman"/>
          <w:szCs w:val="24"/>
        </w:rPr>
        <w:t>On April 28, 2020, Exelon Corporation (grandparent company of Delmarva Power &amp; Light Company) declared a $0.3825 per share dividend to be paid on June 10, 2020.</w:t>
      </w:r>
      <w:r>
        <w:rPr>
          <w:rStyle w:val="FootnoteReference"/>
          <w:rFonts w:cs="Times New Roman"/>
          <w:szCs w:val="24"/>
        </w:rPr>
        <w:footnoteReference w:id="3"/>
      </w:r>
    </w:p>
    <w:p w14:paraId="0AD8B353" w14:textId="77777777" w:rsidR="00C90612" w:rsidRPr="00A121B4" w:rsidRDefault="00C90612" w:rsidP="00C90612">
      <w:pPr>
        <w:pStyle w:val="ListParagraph"/>
        <w:autoSpaceDE w:val="0"/>
        <w:autoSpaceDN w:val="0"/>
        <w:adjustRightInd w:val="0"/>
        <w:ind w:left="1440"/>
        <w:jc w:val="both"/>
        <w:rPr>
          <w:rFonts w:cs="Times New Roman"/>
          <w:szCs w:val="24"/>
        </w:rPr>
      </w:pPr>
    </w:p>
    <w:p w14:paraId="36643365" w14:textId="77777777" w:rsidR="00C90612" w:rsidRPr="00C90612" w:rsidRDefault="00C90612" w:rsidP="00C90612">
      <w:pPr>
        <w:pStyle w:val="ListParagraph"/>
        <w:numPr>
          <w:ilvl w:val="0"/>
          <w:numId w:val="4"/>
        </w:numPr>
        <w:autoSpaceDE w:val="0"/>
        <w:autoSpaceDN w:val="0"/>
        <w:adjustRightInd w:val="0"/>
        <w:jc w:val="both"/>
        <w:rPr>
          <w:rFonts w:cs="Times New Roman"/>
          <w:szCs w:val="24"/>
        </w:rPr>
      </w:pPr>
      <w:r w:rsidRPr="00C90612">
        <w:rPr>
          <w:rFonts w:cs="Times New Roman"/>
          <w:szCs w:val="24"/>
        </w:rPr>
        <w:t>On April 15, 2020, Artesian Resources Corporation (parent company of Artesian Water Company), declared a $0.2496 per share dividend to be paid on May 22, 2020.</w:t>
      </w:r>
      <w:r>
        <w:rPr>
          <w:rStyle w:val="FootnoteReference"/>
          <w:rFonts w:cs="Times New Roman"/>
          <w:szCs w:val="24"/>
        </w:rPr>
        <w:footnoteReference w:id="4"/>
      </w:r>
    </w:p>
    <w:p w14:paraId="3D148508" w14:textId="77777777" w:rsidR="00C90612" w:rsidRPr="00C90612" w:rsidRDefault="00C90612" w:rsidP="00C90612">
      <w:pPr>
        <w:rPr>
          <w:rFonts w:cs="Times New Roman"/>
          <w:szCs w:val="24"/>
        </w:rPr>
      </w:pPr>
    </w:p>
    <w:p w14:paraId="5740477E" w14:textId="77777777" w:rsidR="00C90612" w:rsidRPr="00C90612" w:rsidRDefault="00C90612" w:rsidP="00C90612">
      <w:pPr>
        <w:pStyle w:val="ListParagraph"/>
        <w:numPr>
          <w:ilvl w:val="0"/>
          <w:numId w:val="4"/>
        </w:numPr>
        <w:autoSpaceDE w:val="0"/>
        <w:autoSpaceDN w:val="0"/>
        <w:adjustRightInd w:val="0"/>
        <w:jc w:val="both"/>
        <w:rPr>
          <w:rFonts w:cs="Times New Roman"/>
          <w:szCs w:val="24"/>
        </w:rPr>
      </w:pPr>
      <w:r w:rsidRPr="00C90612">
        <w:rPr>
          <w:rFonts w:cs="Times New Roman"/>
          <w:szCs w:val="24"/>
        </w:rPr>
        <w:t>On February 26, 2020, Chesapeake Utilities Corporation declared a $0.405 per share dividend that was paid on April 6, 2020.</w:t>
      </w:r>
      <w:r>
        <w:rPr>
          <w:rStyle w:val="FootnoteReference"/>
          <w:rFonts w:cs="Times New Roman"/>
          <w:szCs w:val="24"/>
        </w:rPr>
        <w:footnoteReference w:id="5"/>
      </w:r>
    </w:p>
    <w:p w14:paraId="58038078" w14:textId="77777777" w:rsidR="00C90612" w:rsidRDefault="00C90612" w:rsidP="00C90612">
      <w:pPr>
        <w:autoSpaceDE w:val="0"/>
        <w:autoSpaceDN w:val="0"/>
        <w:adjustRightInd w:val="0"/>
        <w:ind w:left="1080"/>
        <w:jc w:val="both"/>
        <w:rPr>
          <w:rFonts w:cs="Times New Roman"/>
          <w:szCs w:val="24"/>
        </w:rPr>
      </w:pPr>
    </w:p>
    <w:p w14:paraId="19645150" w14:textId="77777777" w:rsidR="00C90612" w:rsidRDefault="00C90612" w:rsidP="00C90612">
      <w:pPr>
        <w:pStyle w:val="ListParagraph"/>
        <w:numPr>
          <w:ilvl w:val="0"/>
          <w:numId w:val="4"/>
        </w:numPr>
        <w:autoSpaceDE w:val="0"/>
        <w:autoSpaceDN w:val="0"/>
        <w:adjustRightInd w:val="0"/>
        <w:jc w:val="both"/>
        <w:rPr>
          <w:rFonts w:cs="Times New Roman"/>
          <w:szCs w:val="24"/>
        </w:rPr>
      </w:pPr>
      <w:r w:rsidRPr="00C90612">
        <w:rPr>
          <w:rFonts w:cs="Times New Roman"/>
          <w:szCs w:val="24"/>
        </w:rPr>
        <w:t>On January 29, 2020, Middlesex Water Company (parent company of Tidewater Utilities, Inc.) declared a $0.25625 per share dividend that was paid on March 2, 2020.</w:t>
      </w:r>
      <w:r>
        <w:rPr>
          <w:rStyle w:val="FootnoteReference"/>
          <w:rFonts w:cs="Times New Roman"/>
          <w:szCs w:val="24"/>
        </w:rPr>
        <w:footnoteReference w:id="6"/>
      </w:r>
    </w:p>
    <w:p w14:paraId="38903C1C" w14:textId="77777777" w:rsidR="004C5E90" w:rsidRPr="004C5E90" w:rsidRDefault="004C5E90" w:rsidP="004C5E90">
      <w:pPr>
        <w:autoSpaceDE w:val="0"/>
        <w:autoSpaceDN w:val="0"/>
        <w:adjustRightInd w:val="0"/>
        <w:jc w:val="both"/>
        <w:rPr>
          <w:rFonts w:cs="Times New Roman"/>
          <w:szCs w:val="24"/>
        </w:rPr>
      </w:pPr>
    </w:p>
    <w:p w14:paraId="0ABCEF5D" w14:textId="5887B354" w:rsidR="005C6F0C" w:rsidRPr="005C6F0C" w:rsidRDefault="00576ECE" w:rsidP="005C6F0C">
      <w:pPr>
        <w:pStyle w:val="ListParagraph"/>
        <w:numPr>
          <w:ilvl w:val="0"/>
          <w:numId w:val="1"/>
        </w:numPr>
        <w:autoSpaceDE w:val="0"/>
        <w:autoSpaceDN w:val="0"/>
        <w:adjustRightInd w:val="0"/>
        <w:spacing w:line="480" w:lineRule="auto"/>
        <w:ind w:left="0" w:firstLine="720"/>
        <w:jc w:val="both"/>
        <w:rPr>
          <w:rFonts w:cs="Times New Roman"/>
          <w:szCs w:val="24"/>
        </w:rPr>
      </w:pPr>
      <w:r>
        <w:rPr>
          <w:rFonts w:cs="Times New Roman"/>
          <w:szCs w:val="24"/>
        </w:rPr>
        <w:t xml:space="preserve">In this regard, the DPA notes that the Commission rejected regulatory asset treatment for </w:t>
      </w:r>
      <w:r w:rsidR="001D57F4">
        <w:rPr>
          <w:rFonts w:cs="Times New Roman"/>
          <w:szCs w:val="24"/>
        </w:rPr>
        <w:t xml:space="preserve">almost $9 million </w:t>
      </w:r>
      <w:r>
        <w:rPr>
          <w:rFonts w:cs="Times New Roman"/>
          <w:szCs w:val="24"/>
        </w:rPr>
        <w:t xml:space="preserve">of </w:t>
      </w:r>
      <w:r w:rsidR="001D57F4">
        <w:rPr>
          <w:rFonts w:cs="Times New Roman"/>
          <w:szCs w:val="24"/>
        </w:rPr>
        <w:t xml:space="preserve">pension </w:t>
      </w:r>
      <w:r>
        <w:rPr>
          <w:rFonts w:cs="Times New Roman"/>
          <w:szCs w:val="24"/>
        </w:rPr>
        <w:t xml:space="preserve">losses </w:t>
      </w:r>
      <w:r w:rsidR="001D57F4">
        <w:rPr>
          <w:rFonts w:cs="Times New Roman"/>
          <w:szCs w:val="24"/>
        </w:rPr>
        <w:t xml:space="preserve">that </w:t>
      </w:r>
      <w:r>
        <w:rPr>
          <w:rFonts w:cs="Times New Roman"/>
          <w:szCs w:val="24"/>
        </w:rPr>
        <w:t>Delmarva</w:t>
      </w:r>
      <w:r w:rsidR="001D57F4">
        <w:rPr>
          <w:rFonts w:cs="Times New Roman"/>
          <w:szCs w:val="24"/>
        </w:rPr>
        <w:t xml:space="preserve"> claimed were sustained as a result of the 2008 financial crisis.  While the Commission was “not insensitive </w:t>
      </w:r>
      <w:r w:rsidR="001D57F4">
        <w:t>to the fact that this is a substantial amount of money</w:t>
      </w:r>
      <w:r w:rsidR="00BA3CA9">
        <w:t>,”</w:t>
      </w:r>
      <w:r w:rsidR="001D57F4">
        <w:t xml:space="preserve"> </w:t>
      </w:r>
      <w:r w:rsidR="00BA3CA9">
        <w:t>it found “</w:t>
      </w:r>
      <w:r w:rsidR="001D57F4">
        <w:t xml:space="preserve">no reason to abandon our longstanding practice </w:t>
      </w:r>
      <w:r w:rsidR="001D57F4">
        <w:lastRenderedPageBreak/>
        <w:t>of including these expenses in the traditional ratemaking calculus</w:t>
      </w:r>
      <w:r w:rsidR="00BA3CA9">
        <w:t>.”</w:t>
      </w:r>
      <w:r w:rsidR="00712608">
        <w:rPr>
          <w:rStyle w:val="FootnoteReference"/>
        </w:rPr>
        <w:footnoteReference w:id="7"/>
      </w:r>
      <w:r w:rsidR="006539B1">
        <w:t xml:space="preserve">  In reaching this decision, the Commission observed that Delmarva had paid its parent company $28 million of dividends during the first nine months of 2009, and </w:t>
      </w:r>
      <w:r w:rsidR="00110D01">
        <w:t xml:space="preserve">the parent company had </w:t>
      </w:r>
      <w:r w:rsidR="006539B1">
        <w:t>paid shareholders $178 million during this same period.</w:t>
      </w:r>
      <w:r w:rsidR="00110D01">
        <w:rPr>
          <w:rStyle w:val="FootnoteReference"/>
        </w:rPr>
        <w:footnoteReference w:id="8"/>
      </w:r>
      <w:r w:rsidR="00F427E2">
        <w:t xml:space="preserve">   </w:t>
      </w:r>
      <w:r w:rsidR="003B6E39">
        <w:t>Unlike the current situation, the Commission denied this extraordinary treatment knowing the extent of the costs.  Here, there are not even assumptions, projections, or guesstimates on what and how much each utility intends to book to its regulatory asset.</w:t>
      </w:r>
    </w:p>
    <w:p w14:paraId="528FFA15" w14:textId="2AC022B5" w:rsidR="002B7ECA" w:rsidRPr="0047616C" w:rsidRDefault="00AF5EEE" w:rsidP="00117771">
      <w:pPr>
        <w:pStyle w:val="ListParagraph"/>
        <w:numPr>
          <w:ilvl w:val="0"/>
          <w:numId w:val="1"/>
        </w:numPr>
        <w:autoSpaceDE w:val="0"/>
        <w:autoSpaceDN w:val="0"/>
        <w:adjustRightInd w:val="0"/>
        <w:spacing w:line="480" w:lineRule="auto"/>
        <w:ind w:left="0" w:firstLine="720"/>
        <w:jc w:val="both"/>
        <w:rPr>
          <w:rFonts w:cs="Times New Roman"/>
          <w:szCs w:val="24"/>
        </w:rPr>
      </w:pPr>
      <w:r>
        <w:t>Third</w:t>
      </w:r>
      <w:r w:rsidR="005C6F0C">
        <w:t xml:space="preserve">: </w:t>
      </w:r>
      <w:r w:rsidR="00117771">
        <w:t>A</w:t>
      </w:r>
      <w:r w:rsidR="00454DDC">
        <w:t>ny regulatory asset the Commission grants would apply only to costs incurred after the date of approval, because it would be impermissible retroactive ratemaking to include costs incurred before the date of a Commission order. Moreover</w:t>
      </w:r>
      <w:r w:rsidR="00543D27">
        <w:t xml:space="preserve">, </w:t>
      </w:r>
      <w:r w:rsidR="002B7ECA">
        <w:t>a regulatory asset should</w:t>
      </w:r>
      <w:r w:rsidR="005E45B6">
        <w:t xml:space="preserve"> exclude </w:t>
      </w:r>
      <w:r w:rsidR="002B7ECA">
        <w:t xml:space="preserve">any costs associated with activities that the utilities have taken voluntarily. For example, </w:t>
      </w:r>
      <w:r w:rsidR="00581C98">
        <w:t xml:space="preserve">on April 17, 2020, Delmarva sent an email to customers advising them that it had “made the decision to extend the </w:t>
      </w:r>
      <w:r w:rsidR="00B44DAA">
        <w:t>COVID</w:t>
      </w:r>
      <w:r w:rsidR="00581C98">
        <w:t>-19 customer support policies we announced last month through at least June 1, 2020.”</w:t>
      </w:r>
      <w:r w:rsidR="00834AC2">
        <w:rPr>
          <w:rStyle w:val="FootnoteReference"/>
        </w:rPr>
        <w:footnoteReference w:id="9"/>
      </w:r>
      <w:r w:rsidR="00581C98">
        <w:t xml:space="preserve">  Those policies included suspending disconnections and waiving late fees (both of which were included in the Sixth SOE Modification), but also Delmarva’s own decision to reconnect customers that had been disconnected </w:t>
      </w:r>
      <w:r w:rsidR="004D1DAE">
        <w:t>prior to the Sixth SOE Modification.</w:t>
      </w:r>
      <w:r w:rsidR="004D1DAE">
        <w:rPr>
          <w:rStyle w:val="FootnoteReference"/>
        </w:rPr>
        <w:footnoteReference w:id="10"/>
      </w:r>
      <w:r w:rsidR="00680095">
        <w:t xml:space="preserve">  It must be remembered that </w:t>
      </w:r>
      <w:r w:rsidR="00161A2D">
        <w:t xml:space="preserve">if a regulatory asset is granted, </w:t>
      </w:r>
      <w:r w:rsidR="00680095">
        <w:t xml:space="preserve">customers will eventually pay </w:t>
      </w:r>
      <w:r w:rsidR="00161A2D">
        <w:t xml:space="preserve">these costs.  </w:t>
      </w:r>
      <w:r w:rsidR="0053000B">
        <w:t>While their benevolence may seem commendable, the u</w:t>
      </w:r>
      <w:r w:rsidR="00161A2D">
        <w:t>tilities are not forsak</w:t>
      </w:r>
      <w:r w:rsidR="00AD6A1A">
        <w:t>ing</w:t>
      </w:r>
      <w:r w:rsidR="00161A2D">
        <w:t xml:space="preserve"> recovery of these costs.</w:t>
      </w:r>
    </w:p>
    <w:p w14:paraId="28003147" w14:textId="6C131266" w:rsidR="0047616C" w:rsidRPr="00322B04" w:rsidRDefault="0047616C" w:rsidP="00117771">
      <w:pPr>
        <w:pStyle w:val="ListParagraph"/>
        <w:numPr>
          <w:ilvl w:val="0"/>
          <w:numId w:val="1"/>
        </w:numPr>
        <w:autoSpaceDE w:val="0"/>
        <w:autoSpaceDN w:val="0"/>
        <w:adjustRightInd w:val="0"/>
        <w:spacing w:line="480" w:lineRule="auto"/>
        <w:ind w:left="0" w:firstLine="720"/>
        <w:jc w:val="both"/>
        <w:rPr>
          <w:rFonts w:cs="Times New Roman"/>
          <w:szCs w:val="24"/>
        </w:rPr>
      </w:pPr>
      <w:r>
        <w:lastRenderedPageBreak/>
        <w:t>Fourth: The Commission currently normalizes most costs that comprise a utility’s operation and maintenance expenses, which is what it appears Staff’s Motion is addressing.  Thus, all of the utilities’ current rates include an amount for equipment, uncollectibles, etc.  If the utility recovers more than that amount, it gets to keep it; it does not return the overage back to customers.  There is a very real chance that the utility’s current revenue requirement includes an amount sufficient to pay for whatever the COVID-19 incremental costs are.  Staff’s Motion does not address how ratepayers will be protected from potential double-payment – once through the revenue requirement and again through the regulatory asset.</w:t>
      </w:r>
    </w:p>
    <w:p w14:paraId="3A43132C" w14:textId="5B641350" w:rsidR="00322B04" w:rsidRPr="00322B04" w:rsidRDefault="00EF6C48" w:rsidP="00322B04">
      <w:pPr>
        <w:pStyle w:val="ListParagraph"/>
        <w:numPr>
          <w:ilvl w:val="0"/>
          <w:numId w:val="1"/>
        </w:numPr>
        <w:autoSpaceDE w:val="0"/>
        <w:autoSpaceDN w:val="0"/>
        <w:adjustRightInd w:val="0"/>
        <w:spacing w:line="480" w:lineRule="auto"/>
        <w:ind w:left="0" w:firstLine="720"/>
        <w:jc w:val="both"/>
        <w:rPr>
          <w:rFonts w:cs="Times New Roman"/>
          <w:szCs w:val="24"/>
        </w:rPr>
      </w:pPr>
      <w:r>
        <w:rPr>
          <w:rFonts w:cs="Times New Roman"/>
          <w:szCs w:val="24"/>
        </w:rPr>
        <w:t>F</w:t>
      </w:r>
      <w:r w:rsidR="00F34893">
        <w:rPr>
          <w:rFonts w:cs="Times New Roman"/>
          <w:szCs w:val="24"/>
        </w:rPr>
        <w:t>ifth</w:t>
      </w:r>
      <w:r w:rsidR="00146646">
        <w:rPr>
          <w:rFonts w:cs="Times New Roman"/>
          <w:szCs w:val="24"/>
        </w:rPr>
        <w:t>:</w:t>
      </w:r>
      <w:r w:rsidR="00322B04" w:rsidRPr="00322B04">
        <w:rPr>
          <w:rFonts w:cs="Times New Roman"/>
          <w:szCs w:val="24"/>
        </w:rPr>
        <w:t xml:space="preserve"> </w:t>
      </w:r>
      <w:r w:rsidR="00146646">
        <w:rPr>
          <w:rFonts w:cs="Times New Roman"/>
          <w:szCs w:val="24"/>
        </w:rPr>
        <w:t>T</w:t>
      </w:r>
      <w:r w:rsidR="00322B04" w:rsidRPr="00322B04">
        <w:rPr>
          <w:rFonts w:cs="Times New Roman"/>
          <w:szCs w:val="24"/>
        </w:rPr>
        <w:t xml:space="preserve">he Sixth SOE Modification suspends only disconnections of </w:t>
      </w:r>
      <w:r w:rsidR="00322B04" w:rsidRPr="00322B04">
        <w:rPr>
          <w:rFonts w:cs="Times New Roman"/>
          <w:i/>
          <w:iCs/>
          <w:szCs w:val="24"/>
        </w:rPr>
        <w:t xml:space="preserve">residential dwellings </w:t>
      </w:r>
      <w:r w:rsidR="00322B04" w:rsidRPr="00322B04">
        <w:rPr>
          <w:rFonts w:cs="Times New Roman"/>
          <w:szCs w:val="24"/>
        </w:rPr>
        <w:t xml:space="preserve">and late fees charged to </w:t>
      </w:r>
      <w:r w:rsidR="00322B04" w:rsidRPr="00322B04">
        <w:rPr>
          <w:rFonts w:cs="Times New Roman"/>
          <w:i/>
          <w:iCs/>
          <w:szCs w:val="24"/>
        </w:rPr>
        <w:t xml:space="preserve">residential </w:t>
      </w:r>
      <w:r w:rsidR="00322B04" w:rsidRPr="00322B04">
        <w:rPr>
          <w:rFonts w:cs="Times New Roman"/>
          <w:szCs w:val="24"/>
        </w:rPr>
        <w:t xml:space="preserve">customers.   The Motion, however, is broad enough to cover disconnection of and late fees charged to small commercial, commercial, and industrial customers.   If the Commission is inclined to authorize deferred accounting for </w:t>
      </w:r>
      <w:r w:rsidR="00B44DAA">
        <w:rPr>
          <w:rFonts w:cs="Times New Roman"/>
          <w:szCs w:val="24"/>
        </w:rPr>
        <w:t>COVID</w:t>
      </w:r>
      <w:r w:rsidR="00322B04" w:rsidRPr="00322B04">
        <w:rPr>
          <w:rFonts w:cs="Times New Roman"/>
          <w:szCs w:val="24"/>
        </w:rPr>
        <w:t>-19 related costs based on the Sixth SOE Modification – which, after all, is the stated impetus for Staff’s Motion</w:t>
      </w:r>
      <w:r w:rsidR="00322B04">
        <w:rPr>
          <w:rStyle w:val="FootnoteReference"/>
          <w:rFonts w:cs="Times New Roman"/>
          <w:szCs w:val="24"/>
        </w:rPr>
        <w:footnoteReference w:id="11"/>
      </w:r>
      <w:r w:rsidR="00322B04" w:rsidRPr="00322B04">
        <w:rPr>
          <w:rFonts w:cs="Times New Roman"/>
          <w:szCs w:val="24"/>
        </w:rPr>
        <w:t xml:space="preserve"> - then those costs should be limited to the costs associated with suspending disconnections of residential customers and dwellings and prohibiting late fees for untimely payments from residential customers during the state of emergency.</w:t>
      </w:r>
    </w:p>
    <w:p w14:paraId="73533D01" w14:textId="7AC9B7F9" w:rsidR="00583289" w:rsidRPr="00A02062" w:rsidRDefault="00F34893" w:rsidP="00A02062">
      <w:pPr>
        <w:pStyle w:val="ListParagraph"/>
        <w:numPr>
          <w:ilvl w:val="0"/>
          <w:numId w:val="1"/>
        </w:numPr>
        <w:autoSpaceDE w:val="0"/>
        <w:autoSpaceDN w:val="0"/>
        <w:adjustRightInd w:val="0"/>
        <w:spacing w:line="480" w:lineRule="auto"/>
        <w:ind w:left="0" w:firstLine="720"/>
        <w:jc w:val="both"/>
        <w:rPr>
          <w:rFonts w:cs="Times New Roman"/>
          <w:szCs w:val="24"/>
        </w:rPr>
      </w:pPr>
      <w:r>
        <w:rPr>
          <w:rFonts w:cs="Times New Roman"/>
          <w:szCs w:val="24"/>
        </w:rPr>
        <w:t>Six</w:t>
      </w:r>
      <w:r w:rsidR="008566B9">
        <w:rPr>
          <w:rFonts w:cs="Times New Roman"/>
          <w:szCs w:val="24"/>
        </w:rPr>
        <w:t>th</w:t>
      </w:r>
      <w:r w:rsidR="00322AEE">
        <w:rPr>
          <w:rFonts w:cs="Times New Roman"/>
          <w:szCs w:val="24"/>
        </w:rPr>
        <w:t>:</w:t>
      </w:r>
      <w:r w:rsidR="006D20A1" w:rsidRPr="00A02062">
        <w:rPr>
          <w:rFonts w:cs="Times New Roman"/>
          <w:szCs w:val="24"/>
        </w:rPr>
        <w:t xml:space="preserve"> </w:t>
      </w:r>
      <w:r w:rsidR="00322AEE">
        <w:rPr>
          <w:rFonts w:cs="Times New Roman"/>
          <w:szCs w:val="24"/>
        </w:rPr>
        <w:t>T</w:t>
      </w:r>
      <w:r w:rsidR="00376291" w:rsidRPr="00A02062">
        <w:rPr>
          <w:rFonts w:cs="Times New Roman"/>
          <w:szCs w:val="24"/>
        </w:rPr>
        <w:t xml:space="preserve">he Motion does not identify </w:t>
      </w:r>
      <w:r w:rsidR="00BB58F6">
        <w:rPr>
          <w:rFonts w:cs="Times New Roman"/>
          <w:szCs w:val="24"/>
        </w:rPr>
        <w:t xml:space="preserve">what </w:t>
      </w:r>
      <w:r w:rsidR="00376291" w:rsidRPr="00A02062">
        <w:rPr>
          <w:rFonts w:cs="Times New Roman"/>
          <w:szCs w:val="24"/>
        </w:rPr>
        <w:t xml:space="preserve">specific </w:t>
      </w:r>
      <w:r w:rsidR="00B44DAA">
        <w:rPr>
          <w:rFonts w:cs="Times New Roman"/>
          <w:szCs w:val="24"/>
        </w:rPr>
        <w:t>COVID</w:t>
      </w:r>
      <w:r w:rsidR="00376291" w:rsidRPr="00A02062">
        <w:rPr>
          <w:rFonts w:cs="Times New Roman"/>
          <w:szCs w:val="24"/>
        </w:rPr>
        <w:t xml:space="preserve">-19 related incremental </w:t>
      </w:r>
      <w:r w:rsidR="00EE2E05" w:rsidRPr="00A02062">
        <w:rPr>
          <w:rFonts w:cs="Times New Roman"/>
          <w:szCs w:val="24"/>
        </w:rPr>
        <w:t>c</w:t>
      </w:r>
      <w:r w:rsidR="00376291" w:rsidRPr="00A02062">
        <w:rPr>
          <w:rFonts w:cs="Times New Roman"/>
          <w:szCs w:val="24"/>
        </w:rPr>
        <w:t xml:space="preserve">osts </w:t>
      </w:r>
      <w:r w:rsidR="000E443D" w:rsidRPr="00A02062">
        <w:rPr>
          <w:rFonts w:cs="Times New Roman"/>
          <w:szCs w:val="24"/>
        </w:rPr>
        <w:t xml:space="preserve">would be subject to deferral </w:t>
      </w:r>
      <w:r w:rsidR="00376291" w:rsidRPr="00A02062">
        <w:rPr>
          <w:rFonts w:cs="Times New Roman"/>
          <w:szCs w:val="24"/>
        </w:rPr>
        <w:t>to protect the utilities’ financial integrity from harm.</w:t>
      </w:r>
      <w:r w:rsidR="00A801FA" w:rsidRPr="00A02062">
        <w:rPr>
          <w:rFonts w:cs="Times New Roman"/>
          <w:szCs w:val="24"/>
        </w:rPr>
        <w:t xml:space="preserve">  </w:t>
      </w:r>
      <w:r w:rsidR="00B44CDD" w:rsidRPr="00A02062">
        <w:rPr>
          <w:rFonts w:cs="Times New Roman"/>
          <w:szCs w:val="24"/>
        </w:rPr>
        <w:t xml:space="preserve">This is tantamount to writing the utilities a blank check.  </w:t>
      </w:r>
      <w:r w:rsidR="00942698" w:rsidRPr="00A02062">
        <w:rPr>
          <w:rFonts w:cs="Times New Roman"/>
          <w:szCs w:val="24"/>
        </w:rPr>
        <w:t>The Commission has previously acknowledged that approving deferred accounting treatment</w:t>
      </w:r>
      <w:r w:rsidR="0078667A" w:rsidRPr="00A02062">
        <w:rPr>
          <w:rFonts w:cs="Times New Roman"/>
          <w:szCs w:val="24"/>
        </w:rPr>
        <w:t xml:space="preserve">, which requires a finding that recovery of the </w:t>
      </w:r>
      <w:r w:rsidR="0078667A" w:rsidRPr="00A02062">
        <w:rPr>
          <w:rFonts w:cs="Times New Roman"/>
          <w:szCs w:val="24"/>
        </w:rPr>
        <w:lastRenderedPageBreak/>
        <w:t>deferred amount is “probable” under FASB rules,</w:t>
      </w:r>
      <w:r w:rsidR="0078667A">
        <w:rPr>
          <w:rStyle w:val="FootnoteReference"/>
          <w:rFonts w:cs="Times New Roman"/>
          <w:szCs w:val="24"/>
        </w:rPr>
        <w:footnoteReference w:id="12"/>
      </w:r>
      <w:r w:rsidR="00942698" w:rsidRPr="00A02062">
        <w:rPr>
          <w:rFonts w:cs="Times New Roman"/>
          <w:szCs w:val="24"/>
        </w:rPr>
        <w:t xml:space="preserve"> </w:t>
      </w:r>
      <w:r w:rsidR="00A046FD" w:rsidRPr="00A02062">
        <w:rPr>
          <w:rFonts w:cs="Times New Roman"/>
          <w:szCs w:val="24"/>
        </w:rPr>
        <w:t>“</w:t>
      </w:r>
      <w:r w:rsidR="00A046FD">
        <w:t>would [] ma[k]e it difficult for any other participant to challenge that conclusion</w:t>
      </w:r>
      <w:r w:rsidR="00904A4A">
        <w:t xml:space="preserve"> … .”</w:t>
      </w:r>
      <w:r w:rsidR="00904A4A">
        <w:rPr>
          <w:rStyle w:val="FootnoteReference"/>
        </w:rPr>
        <w:footnoteReference w:id="13"/>
      </w:r>
      <w:r w:rsidR="00A046FD" w:rsidRPr="00A02062">
        <w:rPr>
          <w:rFonts w:cs="Times New Roman"/>
          <w:szCs w:val="24"/>
        </w:rPr>
        <w:t xml:space="preserve"> </w:t>
      </w:r>
      <w:r w:rsidR="007832D5" w:rsidRPr="00A02062">
        <w:rPr>
          <w:rFonts w:cs="Times New Roman"/>
          <w:szCs w:val="24"/>
        </w:rPr>
        <w:t xml:space="preserve"> </w:t>
      </w:r>
    </w:p>
    <w:p w14:paraId="20F9639E" w14:textId="6F0A052B" w:rsidR="00BC4D19" w:rsidRPr="00366EFD" w:rsidRDefault="00A824F6" w:rsidP="00322B04">
      <w:pPr>
        <w:autoSpaceDE w:val="0"/>
        <w:autoSpaceDN w:val="0"/>
        <w:adjustRightInd w:val="0"/>
        <w:spacing w:line="480" w:lineRule="auto"/>
        <w:ind w:firstLine="720"/>
        <w:jc w:val="both"/>
        <w:rPr>
          <w:rFonts w:cs="Times New Roman"/>
          <w:szCs w:val="24"/>
        </w:rPr>
      </w:pPr>
      <w:r>
        <w:rPr>
          <w:rFonts w:cs="Times New Roman"/>
          <w:szCs w:val="24"/>
        </w:rPr>
        <w:t>10</w:t>
      </w:r>
      <w:r w:rsidR="00583289">
        <w:rPr>
          <w:rFonts w:cs="Times New Roman"/>
          <w:szCs w:val="24"/>
        </w:rPr>
        <w:t>.</w:t>
      </w:r>
      <w:r w:rsidR="00583289">
        <w:rPr>
          <w:rFonts w:cs="Times New Roman"/>
          <w:szCs w:val="24"/>
        </w:rPr>
        <w:tab/>
      </w:r>
      <w:r w:rsidR="007C1E75">
        <w:rPr>
          <w:rFonts w:cs="Times New Roman"/>
          <w:szCs w:val="24"/>
        </w:rPr>
        <w:t>In this regard, Colorado u</w:t>
      </w:r>
      <w:r w:rsidR="00E773FD" w:rsidRPr="00366EFD">
        <w:rPr>
          <w:rFonts w:cs="Times New Roman"/>
          <w:szCs w:val="24"/>
        </w:rPr>
        <w:t xml:space="preserve">tilities seeking deferred accounting treatment </w:t>
      </w:r>
      <w:r w:rsidR="002442D5">
        <w:rPr>
          <w:rFonts w:cs="Times New Roman"/>
          <w:szCs w:val="24"/>
        </w:rPr>
        <w:t xml:space="preserve">from their commission </w:t>
      </w:r>
      <w:r w:rsidR="0089391A">
        <w:rPr>
          <w:rFonts w:cs="Times New Roman"/>
          <w:szCs w:val="24"/>
        </w:rPr>
        <w:t xml:space="preserve">made an </w:t>
      </w:r>
      <w:r w:rsidR="001C7E14" w:rsidRPr="00366EFD">
        <w:rPr>
          <w:rFonts w:cs="Times New Roman"/>
          <w:szCs w:val="24"/>
        </w:rPr>
        <w:t xml:space="preserve">attempt to identify </w:t>
      </w:r>
      <w:r w:rsidR="00B44DAA">
        <w:rPr>
          <w:rFonts w:cs="Times New Roman"/>
          <w:szCs w:val="24"/>
        </w:rPr>
        <w:t>COVID</w:t>
      </w:r>
      <w:r w:rsidR="0089391A">
        <w:rPr>
          <w:rFonts w:cs="Times New Roman"/>
          <w:szCs w:val="24"/>
        </w:rPr>
        <w:t xml:space="preserve">-19 related incremental </w:t>
      </w:r>
      <w:r w:rsidR="001C7E14" w:rsidRPr="00366EFD">
        <w:rPr>
          <w:rFonts w:cs="Times New Roman"/>
          <w:szCs w:val="24"/>
        </w:rPr>
        <w:t>costs.</w:t>
      </w:r>
      <w:r w:rsidR="006B77B6">
        <w:rPr>
          <w:rStyle w:val="FootnoteReference"/>
          <w:rFonts w:cs="Times New Roman"/>
          <w:szCs w:val="24"/>
        </w:rPr>
        <w:footnoteReference w:id="14"/>
      </w:r>
      <w:r w:rsidR="001C7E14" w:rsidRPr="00366EFD">
        <w:rPr>
          <w:rFonts w:cs="Times New Roman"/>
          <w:szCs w:val="24"/>
        </w:rPr>
        <w:t xml:space="preserve">  </w:t>
      </w:r>
      <w:r w:rsidR="004F3EDB" w:rsidRPr="00366EFD">
        <w:rPr>
          <w:rFonts w:cs="Times New Roman"/>
          <w:szCs w:val="24"/>
        </w:rPr>
        <w:t xml:space="preserve">But </w:t>
      </w:r>
      <w:r w:rsidR="001C7E14" w:rsidRPr="00366EFD">
        <w:rPr>
          <w:rFonts w:cs="Times New Roman"/>
          <w:szCs w:val="24"/>
        </w:rPr>
        <w:t xml:space="preserve">even </w:t>
      </w:r>
      <w:r w:rsidR="0089391A">
        <w:rPr>
          <w:rFonts w:cs="Times New Roman"/>
          <w:szCs w:val="24"/>
        </w:rPr>
        <w:t xml:space="preserve">a cursory </w:t>
      </w:r>
      <w:r w:rsidR="001C7E14" w:rsidRPr="00366EFD">
        <w:rPr>
          <w:rFonts w:cs="Times New Roman"/>
          <w:szCs w:val="24"/>
        </w:rPr>
        <w:t>examination of those costs establishes that the</w:t>
      </w:r>
      <w:r w:rsidR="00C70577">
        <w:rPr>
          <w:rFonts w:cs="Times New Roman"/>
          <w:szCs w:val="24"/>
        </w:rPr>
        <w:t xml:space="preserve"> utility is already recovering such costs in base rates, or that</w:t>
      </w:r>
      <w:r w:rsidR="001C7E14" w:rsidRPr="00366EFD">
        <w:rPr>
          <w:rFonts w:cs="Times New Roman"/>
          <w:szCs w:val="24"/>
        </w:rPr>
        <w:t xml:space="preserve"> </w:t>
      </w:r>
      <w:r w:rsidR="00D31DF7">
        <w:rPr>
          <w:rFonts w:cs="Times New Roman"/>
          <w:szCs w:val="24"/>
        </w:rPr>
        <w:t xml:space="preserve">they </w:t>
      </w:r>
      <w:r w:rsidR="001C7E14" w:rsidRPr="00366EFD">
        <w:rPr>
          <w:rFonts w:cs="Times New Roman"/>
          <w:szCs w:val="24"/>
        </w:rPr>
        <w:t xml:space="preserve">can be dealt with in a </w:t>
      </w:r>
      <w:r w:rsidR="00491D9A">
        <w:rPr>
          <w:rFonts w:cs="Times New Roman"/>
          <w:szCs w:val="24"/>
        </w:rPr>
        <w:t xml:space="preserve">subsequent </w:t>
      </w:r>
      <w:r w:rsidR="001C7E14" w:rsidRPr="00366EFD">
        <w:rPr>
          <w:rFonts w:cs="Times New Roman"/>
          <w:szCs w:val="24"/>
        </w:rPr>
        <w:t>rate case</w:t>
      </w:r>
      <w:r w:rsidR="00D81C38">
        <w:rPr>
          <w:rFonts w:cs="Times New Roman"/>
          <w:szCs w:val="24"/>
        </w:rPr>
        <w:t xml:space="preserve">. </w:t>
      </w:r>
      <w:r w:rsidR="00AD12D5">
        <w:rPr>
          <w:rFonts w:cs="Times New Roman"/>
          <w:szCs w:val="24"/>
        </w:rPr>
        <w:t xml:space="preserve">(In </w:t>
      </w:r>
      <w:r w:rsidR="009F5C00">
        <w:rPr>
          <w:rFonts w:cs="Times New Roman"/>
          <w:szCs w:val="24"/>
        </w:rPr>
        <w:t xml:space="preserve">considering </w:t>
      </w:r>
      <w:r w:rsidR="00AD12D5">
        <w:rPr>
          <w:rFonts w:cs="Times New Roman"/>
          <w:szCs w:val="24"/>
        </w:rPr>
        <w:t xml:space="preserve">these items, </w:t>
      </w:r>
      <w:r w:rsidR="00C35F17">
        <w:rPr>
          <w:rFonts w:cs="Times New Roman"/>
          <w:szCs w:val="24"/>
        </w:rPr>
        <w:t xml:space="preserve">the DPA observes </w:t>
      </w:r>
      <w:r w:rsidR="00D81C38">
        <w:rPr>
          <w:rFonts w:cs="Times New Roman"/>
          <w:szCs w:val="24"/>
        </w:rPr>
        <w:t>that this Commission’s policy is to include a normalized level of many of these costs in a utility’s revenue requirement, and that the level of cost that the utility actually incurs fluctuates during the period that rates are in effect</w:t>
      </w:r>
      <w:r w:rsidR="00AD12D5">
        <w:rPr>
          <w:rFonts w:cs="Times New Roman"/>
          <w:szCs w:val="24"/>
        </w:rPr>
        <w:t>, so that there are times than the utility recovers more than its actual expense level and times that it recovers less than its actual expense level.)</w:t>
      </w:r>
    </w:p>
    <w:p w14:paraId="1A6F7207" w14:textId="0155690D" w:rsidR="004F3EDB" w:rsidRDefault="004F3EDB" w:rsidP="006372D8">
      <w:pPr>
        <w:pStyle w:val="ListParagraph"/>
        <w:numPr>
          <w:ilvl w:val="0"/>
          <w:numId w:val="5"/>
        </w:numPr>
        <w:autoSpaceDE w:val="0"/>
        <w:autoSpaceDN w:val="0"/>
        <w:adjustRightInd w:val="0"/>
        <w:jc w:val="both"/>
        <w:rPr>
          <w:rFonts w:cs="Times New Roman"/>
          <w:szCs w:val="24"/>
        </w:rPr>
      </w:pPr>
      <w:r w:rsidRPr="00285239">
        <w:rPr>
          <w:rFonts w:cs="Times New Roman"/>
          <w:szCs w:val="24"/>
        </w:rPr>
        <w:t>“</w:t>
      </w:r>
      <w:r w:rsidR="00285239">
        <w:rPr>
          <w:rFonts w:cs="Times New Roman"/>
          <w:szCs w:val="24"/>
        </w:rPr>
        <w:t>I</w:t>
      </w:r>
      <w:r w:rsidRPr="00285239">
        <w:rPr>
          <w:rFonts w:cs="Times New Roman"/>
          <w:szCs w:val="24"/>
        </w:rPr>
        <w:t xml:space="preserve">mplementing technology to enable larger portions of </w:t>
      </w:r>
      <w:r w:rsidR="00285239">
        <w:rPr>
          <w:rFonts w:cs="Times New Roman"/>
          <w:szCs w:val="24"/>
        </w:rPr>
        <w:t xml:space="preserve">[the] </w:t>
      </w:r>
      <w:r w:rsidRPr="00285239">
        <w:rPr>
          <w:rFonts w:cs="Times New Roman"/>
          <w:szCs w:val="24"/>
        </w:rPr>
        <w:t>utility</w:t>
      </w:r>
      <w:r w:rsidR="00285239">
        <w:rPr>
          <w:rFonts w:cs="Times New Roman"/>
          <w:szCs w:val="24"/>
        </w:rPr>
        <w:t xml:space="preserve"> </w:t>
      </w:r>
      <w:r w:rsidRPr="00285239">
        <w:rPr>
          <w:rFonts w:cs="Times New Roman"/>
          <w:szCs w:val="24"/>
        </w:rPr>
        <w:t>workforce to work from home”</w:t>
      </w:r>
      <w:r w:rsidR="00CE0AFB">
        <w:rPr>
          <w:rFonts w:cs="Times New Roman"/>
          <w:szCs w:val="24"/>
        </w:rPr>
        <w:t>:  Many utilit</w:t>
      </w:r>
      <w:r w:rsidR="00924024">
        <w:rPr>
          <w:rFonts w:cs="Times New Roman"/>
          <w:szCs w:val="24"/>
        </w:rPr>
        <w:t>ies</w:t>
      </w:r>
      <w:r w:rsidR="00CE0AFB">
        <w:rPr>
          <w:rFonts w:cs="Times New Roman"/>
          <w:szCs w:val="24"/>
        </w:rPr>
        <w:t xml:space="preserve"> already have the technology that enables the</w:t>
      </w:r>
      <w:r w:rsidR="00924024">
        <w:rPr>
          <w:rFonts w:cs="Times New Roman"/>
          <w:szCs w:val="24"/>
        </w:rPr>
        <w:t>ir employees</w:t>
      </w:r>
      <w:r w:rsidR="00CE0AFB">
        <w:rPr>
          <w:rFonts w:cs="Times New Roman"/>
          <w:szCs w:val="24"/>
        </w:rPr>
        <w:t xml:space="preserve"> to work</w:t>
      </w:r>
      <w:r w:rsidR="00512EE8">
        <w:rPr>
          <w:rFonts w:cs="Times New Roman"/>
          <w:szCs w:val="24"/>
        </w:rPr>
        <w:t xml:space="preserve"> remotely</w:t>
      </w:r>
      <w:r w:rsidR="0095040E">
        <w:rPr>
          <w:rFonts w:cs="Times New Roman"/>
          <w:szCs w:val="24"/>
        </w:rPr>
        <w:t>, for which ratepayers are already paying.</w:t>
      </w:r>
      <w:r w:rsidR="00571E83">
        <w:rPr>
          <w:rFonts w:cs="Times New Roman"/>
          <w:szCs w:val="24"/>
        </w:rPr>
        <w:t xml:space="preserve">  </w:t>
      </w:r>
      <w:r w:rsidR="000E70D1">
        <w:rPr>
          <w:rFonts w:cs="Times New Roman"/>
          <w:szCs w:val="24"/>
        </w:rPr>
        <w:t xml:space="preserve">The one utility with which the DPA has spoken advised that it did not need to purchase laptops and there were no new IT costs associated with their employees working remotely.  </w:t>
      </w:r>
      <w:r w:rsidR="00571E83">
        <w:rPr>
          <w:rFonts w:cs="Times New Roman"/>
          <w:szCs w:val="24"/>
        </w:rPr>
        <w:t>And if they don’t, no utility has provided an estimate of what this would cost.</w:t>
      </w:r>
    </w:p>
    <w:p w14:paraId="407630EA" w14:textId="77777777" w:rsidR="00CE0AFB" w:rsidRDefault="00CE0AFB" w:rsidP="006372D8">
      <w:pPr>
        <w:autoSpaceDE w:val="0"/>
        <w:autoSpaceDN w:val="0"/>
        <w:adjustRightInd w:val="0"/>
        <w:ind w:left="360"/>
        <w:jc w:val="both"/>
        <w:rPr>
          <w:rFonts w:cs="Times New Roman"/>
          <w:szCs w:val="24"/>
        </w:rPr>
      </w:pPr>
    </w:p>
    <w:p w14:paraId="113F4798" w14:textId="11AB2D1B" w:rsidR="004F3EDB" w:rsidRDefault="004F3EDB" w:rsidP="006372D8">
      <w:pPr>
        <w:pStyle w:val="ListParagraph"/>
        <w:numPr>
          <w:ilvl w:val="0"/>
          <w:numId w:val="5"/>
        </w:numPr>
        <w:autoSpaceDE w:val="0"/>
        <w:autoSpaceDN w:val="0"/>
        <w:adjustRightInd w:val="0"/>
        <w:jc w:val="both"/>
        <w:rPr>
          <w:rFonts w:cs="Times New Roman"/>
          <w:szCs w:val="24"/>
        </w:rPr>
      </w:pPr>
      <w:r w:rsidRPr="00CE0AFB">
        <w:rPr>
          <w:rFonts w:cs="Times New Roman"/>
          <w:szCs w:val="24"/>
        </w:rPr>
        <w:t>“</w:t>
      </w:r>
      <w:r w:rsidR="00CE0AFB">
        <w:rPr>
          <w:rFonts w:cs="Times New Roman"/>
          <w:szCs w:val="24"/>
        </w:rPr>
        <w:t>P</w:t>
      </w:r>
      <w:r w:rsidRPr="00CE0AFB">
        <w:rPr>
          <w:rFonts w:cs="Times New Roman"/>
          <w:szCs w:val="24"/>
        </w:rPr>
        <w:t>aid time off to employees in alignment with self-quarantine</w:t>
      </w:r>
      <w:r w:rsidR="00CE0AFB">
        <w:rPr>
          <w:rFonts w:cs="Times New Roman"/>
          <w:szCs w:val="24"/>
        </w:rPr>
        <w:t xml:space="preserve"> </w:t>
      </w:r>
      <w:r w:rsidRPr="00CE0AFB">
        <w:rPr>
          <w:rFonts w:cs="Times New Roman"/>
          <w:szCs w:val="24"/>
        </w:rPr>
        <w:t>guidance”</w:t>
      </w:r>
      <w:r w:rsidR="00DF3148">
        <w:rPr>
          <w:rFonts w:cs="Times New Roman"/>
          <w:szCs w:val="24"/>
        </w:rPr>
        <w:t xml:space="preserve">: </w:t>
      </w:r>
      <w:r w:rsidR="00351A2F">
        <w:rPr>
          <w:rFonts w:cs="Times New Roman"/>
          <w:szCs w:val="24"/>
        </w:rPr>
        <w:t>None of the utilities with whom the DPA has had discussions has mentioned this as a cost.</w:t>
      </w:r>
      <w:r w:rsidR="00C07DDC">
        <w:rPr>
          <w:rFonts w:cs="Times New Roman"/>
          <w:szCs w:val="24"/>
        </w:rPr>
        <w:t xml:space="preserve"> Nor has any utility provided any estimate of how many employees, if any, to whom it has provided paid time off, or an estimate of the associated cost.</w:t>
      </w:r>
    </w:p>
    <w:p w14:paraId="43AA49BE" w14:textId="77777777" w:rsidR="00351A2F" w:rsidRPr="00351A2F" w:rsidRDefault="00351A2F" w:rsidP="006372D8">
      <w:pPr>
        <w:pStyle w:val="ListParagraph"/>
        <w:jc w:val="both"/>
        <w:rPr>
          <w:rFonts w:cs="Times New Roman"/>
          <w:szCs w:val="24"/>
        </w:rPr>
      </w:pPr>
    </w:p>
    <w:p w14:paraId="68A205BA" w14:textId="23CEBACA" w:rsidR="00ED4E48" w:rsidRDefault="004F3EDB" w:rsidP="00CA37E7">
      <w:pPr>
        <w:pStyle w:val="ListParagraph"/>
        <w:numPr>
          <w:ilvl w:val="0"/>
          <w:numId w:val="5"/>
        </w:numPr>
        <w:autoSpaceDE w:val="0"/>
        <w:autoSpaceDN w:val="0"/>
        <w:adjustRightInd w:val="0"/>
        <w:jc w:val="both"/>
        <w:rPr>
          <w:rFonts w:cs="Times New Roman"/>
          <w:szCs w:val="24"/>
        </w:rPr>
      </w:pPr>
      <w:r w:rsidRPr="00F31E24">
        <w:rPr>
          <w:rFonts w:cs="Times New Roman"/>
          <w:szCs w:val="24"/>
        </w:rPr>
        <w:t>“</w:t>
      </w:r>
      <w:r w:rsidR="00351A2F" w:rsidRPr="00F31E24">
        <w:rPr>
          <w:rFonts w:cs="Times New Roman"/>
          <w:szCs w:val="24"/>
        </w:rPr>
        <w:t>A</w:t>
      </w:r>
      <w:r w:rsidRPr="00F31E24">
        <w:rPr>
          <w:rFonts w:cs="Times New Roman"/>
          <w:szCs w:val="24"/>
        </w:rPr>
        <w:t>dditional personal protective equipment”</w:t>
      </w:r>
      <w:r w:rsidR="00351A2F" w:rsidRPr="00F31E24">
        <w:rPr>
          <w:rFonts w:cs="Times New Roman"/>
          <w:szCs w:val="24"/>
        </w:rPr>
        <w:t xml:space="preserve">: Some of the utilities have mentioned this in their discussions with the DPA.  Only one utility has identified specific </w:t>
      </w:r>
      <w:r w:rsidR="00F31E24" w:rsidRPr="00F31E24">
        <w:rPr>
          <w:rFonts w:cs="Times New Roman"/>
          <w:szCs w:val="24"/>
        </w:rPr>
        <w:t xml:space="preserve">additional </w:t>
      </w:r>
      <w:r w:rsidR="00351A2F" w:rsidRPr="00F31E24">
        <w:rPr>
          <w:rFonts w:cs="Times New Roman"/>
          <w:szCs w:val="24"/>
        </w:rPr>
        <w:t xml:space="preserve">protective equipment that </w:t>
      </w:r>
      <w:r w:rsidR="00DD741F">
        <w:rPr>
          <w:rFonts w:cs="Times New Roman"/>
          <w:szCs w:val="24"/>
        </w:rPr>
        <w:t xml:space="preserve">was purchased, </w:t>
      </w:r>
      <w:r w:rsidR="00351A2F" w:rsidRPr="00F31E24">
        <w:rPr>
          <w:rFonts w:cs="Times New Roman"/>
          <w:szCs w:val="24"/>
        </w:rPr>
        <w:t xml:space="preserve">however, and that utility </w:t>
      </w:r>
      <w:r w:rsidR="00DD741F">
        <w:rPr>
          <w:rFonts w:cs="Times New Roman"/>
          <w:szCs w:val="24"/>
        </w:rPr>
        <w:t>noted</w:t>
      </w:r>
      <w:r w:rsidR="00A504B5">
        <w:rPr>
          <w:rFonts w:cs="Times New Roman"/>
          <w:szCs w:val="24"/>
        </w:rPr>
        <w:t xml:space="preserve"> </w:t>
      </w:r>
      <w:r w:rsidR="00351A2F" w:rsidRPr="00F31E24">
        <w:rPr>
          <w:rFonts w:cs="Times New Roman"/>
          <w:szCs w:val="24"/>
        </w:rPr>
        <w:t xml:space="preserve">that </w:t>
      </w:r>
      <w:r w:rsidR="00ED4E48" w:rsidRPr="00F31E24">
        <w:rPr>
          <w:rFonts w:cs="Times New Roman"/>
          <w:szCs w:val="24"/>
        </w:rPr>
        <w:t xml:space="preserve">the cost </w:t>
      </w:r>
      <w:r w:rsidR="00DD741F">
        <w:rPr>
          <w:rFonts w:cs="Times New Roman"/>
          <w:szCs w:val="24"/>
        </w:rPr>
        <w:t xml:space="preserve">was several hundred dollars.  </w:t>
      </w:r>
      <w:r w:rsidR="000639E8">
        <w:rPr>
          <w:rFonts w:cs="Times New Roman"/>
          <w:szCs w:val="24"/>
        </w:rPr>
        <w:t>O</w:t>
      </w:r>
      <w:r w:rsidR="000E70D1">
        <w:rPr>
          <w:rFonts w:cs="Times New Roman"/>
          <w:szCs w:val="24"/>
        </w:rPr>
        <w:t xml:space="preserve">ther </w:t>
      </w:r>
      <w:r w:rsidR="000639E8">
        <w:rPr>
          <w:rFonts w:cs="Times New Roman"/>
          <w:szCs w:val="24"/>
        </w:rPr>
        <w:t xml:space="preserve">than this utility, none has </w:t>
      </w:r>
      <w:r w:rsidR="00DD741F">
        <w:rPr>
          <w:rFonts w:cs="Times New Roman"/>
          <w:szCs w:val="24"/>
        </w:rPr>
        <w:t>provided any estimate of cost</w:t>
      </w:r>
      <w:r w:rsidR="000639E8">
        <w:rPr>
          <w:rFonts w:cs="Times New Roman"/>
          <w:szCs w:val="24"/>
        </w:rPr>
        <w:t xml:space="preserve"> </w:t>
      </w:r>
      <w:r w:rsidR="00DD741F">
        <w:rPr>
          <w:rFonts w:cs="Times New Roman"/>
          <w:szCs w:val="24"/>
        </w:rPr>
        <w:t>for additional PPE</w:t>
      </w:r>
      <w:r w:rsidR="00F31E24">
        <w:rPr>
          <w:rFonts w:cs="Times New Roman"/>
          <w:szCs w:val="24"/>
        </w:rPr>
        <w:t>.</w:t>
      </w:r>
    </w:p>
    <w:p w14:paraId="36A4EA6D" w14:textId="77777777" w:rsidR="006C5B28" w:rsidRPr="006C5B28" w:rsidRDefault="006C5B28" w:rsidP="00E378E7">
      <w:pPr>
        <w:autoSpaceDE w:val="0"/>
        <w:autoSpaceDN w:val="0"/>
        <w:adjustRightInd w:val="0"/>
        <w:jc w:val="both"/>
        <w:rPr>
          <w:rFonts w:cs="Times New Roman"/>
          <w:szCs w:val="24"/>
        </w:rPr>
      </w:pPr>
    </w:p>
    <w:p w14:paraId="2AC2931A" w14:textId="207955F9" w:rsidR="004F3EDB" w:rsidRDefault="00351A2F" w:rsidP="006372D8">
      <w:pPr>
        <w:pStyle w:val="ListParagraph"/>
        <w:numPr>
          <w:ilvl w:val="0"/>
          <w:numId w:val="5"/>
        </w:numPr>
        <w:autoSpaceDE w:val="0"/>
        <w:autoSpaceDN w:val="0"/>
        <w:adjustRightInd w:val="0"/>
        <w:jc w:val="both"/>
        <w:rPr>
          <w:rFonts w:cs="Times New Roman"/>
          <w:szCs w:val="24"/>
        </w:rPr>
      </w:pPr>
      <w:r>
        <w:rPr>
          <w:rFonts w:cs="Times New Roman"/>
          <w:szCs w:val="24"/>
        </w:rPr>
        <w:t xml:space="preserve"> </w:t>
      </w:r>
      <w:r w:rsidR="004F3EDB" w:rsidRPr="00ED4E48">
        <w:rPr>
          <w:rFonts w:cs="Times New Roman"/>
          <w:szCs w:val="24"/>
        </w:rPr>
        <w:t>“</w:t>
      </w:r>
      <w:r w:rsidR="00ED4E48">
        <w:rPr>
          <w:rFonts w:cs="Times New Roman"/>
          <w:szCs w:val="24"/>
        </w:rPr>
        <w:t>S</w:t>
      </w:r>
      <w:r w:rsidR="004F3EDB" w:rsidRPr="00ED4E48">
        <w:rPr>
          <w:rFonts w:cs="Times New Roman"/>
          <w:szCs w:val="24"/>
        </w:rPr>
        <w:t>uspension of disconnections”</w:t>
      </w:r>
      <w:r w:rsidR="00ED4E48">
        <w:rPr>
          <w:rFonts w:cs="Times New Roman"/>
          <w:szCs w:val="24"/>
        </w:rPr>
        <w:t>: The DPA agrees that suspending disconnections would prevent utilities from disconnecting customers that otherwise would have been disconnected</w:t>
      </w:r>
      <w:r w:rsidR="00F31E24">
        <w:rPr>
          <w:rFonts w:cs="Times New Roman"/>
          <w:szCs w:val="24"/>
        </w:rPr>
        <w:t>, and that this item is specifically encompassed in the Sixth SOE Modification.</w:t>
      </w:r>
      <w:r w:rsidR="00ED4E48">
        <w:rPr>
          <w:rFonts w:cs="Times New Roman"/>
          <w:szCs w:val="24"/>
        </w:rPr>
        <w:t xml:space="preserve"> But the DPA is aware </w:t>
      </w:r>
      <w:r w:rsidR="00E874EF">
        <w:rPr>
          <w:rFonts w:cs="Times New Roman"/>
          <w:szCs w:val="24"/>
        </w:rPr>
        <w:t xml:space="preserve">that one utility </w:t>
      </w:r>
      <w:r w:rsidR="00ED4E48">
        <w:rPr>
          <w:rFonts w:cs="Times New Roman"/>
          <w:szCs w:val="24"/>
        </w:rPr>
        <w:t xml:space="preserve">frequently waits until a customer has </w:t>
      </w:r>
      <w:r w:rsidR="00E874EF">
        <w:rPr>
          <w:rFonts w:cs="Times New Roman"/>
          <w:szCs w:val="24"/>
        </w:rPr>
        <w:t xml:space="preserve">failed to pay their bills for several months </w:t>
      </w:r>
      <w:r w:rsidR="00ED4E48">
        <w:rPr>
          <w:rFonts w:cs="Times New Roman"/>
          <w:szCs w:val="24"/>
        </w:rPr>
        <w:t>before it considers disconnections, so we wonder how it will be able to establish that it has incurred any costs from being unable to disconnect non-paying customers</w:t>
      </w:r>
      <w:r w:rsidR="00E874EF">
        <w:rPr>
          <w:rFonts w:cs="Times New Roman"/>
          <w:szCs w:val="24"/>
        </w:rPr>
        <w:t xml:space="preserve"> that it would not have incurred under its normal business practices</w:t>
      </w:r>
      <w:r w:rsidR="00ED4E48">
        <w:rPr>
          <w:rFonts w:cs="Times New Roman"/>
          <w:szCs w:val="24"/>
        </w:rPr>
        <w:t xml:space="preserve">. </w:t>
      </w:r>
      <w:r w:rsidR="00F4664B">
        <w:rPr>
          <w:rFonts w:cs="Times New Roman"/>
          <w:szCs w:val="24"/>
        </w:rPr>
        <w:t xml:space="preserve"> </w:t>
      </w:r>
      <w:r w:rsidR="00CD48E7">
        <w:rPr>
          <w:rFonts w:cs="Times New Roman"/>
          <w:szCs w:val="24"/>
        </w:rPr>
        <w:t xml:space="preserve">As for other utilities, none has provided any information regarding how many disconnections they were </w:t>
      </w:r>
      <w:r w:rsidR="00EF6790">
        <w:rPr>
          <w:rFonts w:cs="Times New Roman"/>
          <w:szCs w:val="24"/>
        </w:rPr>
        <w:t xml:space="preserve">performing prior to the governmentally-mandated suspension of disconnections.  Two of Delaware’s regulated water utilities bill monthly, and those utilities also have a predominantly residential customer base, so their costs resulting from an inability to disconnect are likely to be less.  Moreover, these costs can be accounted for in </w:t>
      </w:r>
      <w:r w:rsidR="001A0CCA">
        <w:rPr>
          <w:rFonts w:cs="Times New Roman"/>
          <w:szCs w:val="24"/>
        </w:rPr>
        <w:t>the utility’s next</w:t>
      </w:r>
      <w:r w:rsidR="00EF6790">
        <w:rPr>
          <w:rFonts w:cs="Times New Roman"/>
          <w:szCs w:val="24"/>
        </w:rPr>
        <w:t xml:space="preserve"> rate case through a normalization adjustment.</w:t>
      </w:r>
    </w:p>
    <w:p w14:paraId="059220D2" w14:textId="77777777" w:rsidR="00F4664B" w:rsidRPr="00F4664B" w:rsidRDefault="00F4664B" w:rsidP="006372D8">
      <w:pPr>
        <w:pStyle w:val="ListParagraph"/>
        <w:jc w:val="both"/>
        <w:rPr>
          <w:rFonts w:cs="Times New Roman"/>
          <w:szCs w:val="24"/>
        </w:rPr>
      </w:pPr>
    </w:p>
    <w:p w14:paraId="5201B9A2" w14:textId="1361FC54" w:rsidR="00130F56" w:rsidRDefault="004F3EDB" w:rsidP="006372D8">
      <w:pPr>
        <w:pStyle w:val="ListParagraph"/>
        <w:numPr>
          <w:ilvl w:val="0"/>
          <w:numId w:val="5"/>
        </w:numPr>
        <w:autoSpaceDE w:val="0"/>
        <w:autoSpaceDN w:val="0"/>
        <w:adjustRightInd w:val="0"/>
        <w:jc w:val="both"/>
        <w:rPr>
          <w:rFonts w:cs="Times New Roman"/>
          <w:szCs w:val="24"/>
        </w:rPr>
      </w:pPr>
      <w:r w:rsidRPr="00B81527">
        <w:rPr>
          <w:rFonts w:cs="Times New Roman"/>
          <w:szCs w:val="24"/>
        </w:rPr>
        <w:t>“</w:t>
      </w:r>
      <w:r w:rsidR="00B81527">
        <w:rPr>
          <w:rFonts w:cs="Times New Roman"/>
          <w:szCs w:val="24"/>
        </w:rPr>
        <w:t>T</w:t>
      </w:r>
      <w:r w:rsidRPr="00B81527">
        <w:rPr>
          <w:rFonts w:cs="Times New Roman"/>
          <w:szCs w:val="24"/>
        </w:rPr>
        <w:t>he increase in arrearages and uncollectible expense”</w:t>
      </w:r>
      <w:r w:rsidR="00B81527">
        <w:rPr>
          <w:rFonts w:cs="Times New Roman"/>
          <w:szCs w:val="24"/>
        </w:rPr>
        <w:t xml:space="preserve">: </w:t>
      </w:r>
      <w:r w:rsidR="0098151C">
        <w:rPr>
          <w:rFonts w:cs="Times New Roman"/>
          <w:szCs w:val="24"/>
        </w:rPr>
        <w:t xml:space="preserve">The DPA acknowledges that some of the regulated utilities may experience increases in arrearages and uncollectible expense </w:t>
      </w:r>
      <w:r w:rsidR="0098151C">
        <w:rPr>
          <w:rFonts w:cs="Times New Roman"/>
          <w:i/>
          <w:iCs/>
          <w:szCs w:val="24"/>
        </w:rPr>
        <w:t>in the short term</w:t>
      </w:r>
      <w:r w:rsidR="0098151C">
        <w:rPr>
          <w:rFonts w:cs="Times New Roman"/>
          <w:szCs w:val="24"/>
        </w:rPr>
        <w:t>.</w:t>
      </w:r>
      <w:r w:rsidR="00CA3DA0">
        <w:rPr>
          <w:rFonts w:cs="Times New Roman"/>
          <w:szCs w:val="24"/>
        </w:rPr>
        <w:t xml:space="preserve">  </w:t>
      </w:r>
      <w:r w:rsidR="0098151C">
        <w:rPr>
          <w:rFonts w:cs="Times New Roman"/>
          <w:szCs w:val="24"/>
        </w:rPr>
        <w:t xml:space="preserve">But again, the DPA is aware from its experience with one utility that it frequently waits until a customer has </w:t>
      </w:r>
      <w:r w:rsidR="00E874EF">
        <w:rPr>
          <w:rFonts w:cs="Times New Roman"/>
          <w:szCs w:val="24"/>
        </w:rPr>
        <w:t xml:space="preserve">not paid for several months </w:t>
      </w:r>
      <w:r w:rsidR="0098151C">
        <w:rPr>
          <w:rFonts w:cs="Times New Roman"/>
          <w:szCs w:val="24"/>
        </w:rPr>
        <w:t xml:space="preserve">before it considers disconnections, so we wonder how it will be able to establish that it has incurred increased arrearages and uncollectible expense as a result of </w:t>
      </w:r>
      <w:r w:rsidR="00B44DAA">
        <w:rPr>
          <w:rFonts w:cs="Times New Roman"/>
          <w:szCs w:val="24"/>
        </w:rPr>
        <w:t>COVID</w:t>
      </w:r>
      <w:r w:rsidR="0098151C">
        <w:rPr>
          <w:rFonts w:cs="Times New Roman"/>
          <w:szCs w:val="24"/>
        </w:rPr>
        <w:t xml:space="preserve">-19 versus its usual business practices.  </w:t>
      </w:r>
      <w:r w:rsidR="00AE2932">
        <w:rPr>
          <w:rFonts w:cs="Times New Roman"/>
          <w:szCs w:val="24"/>
        </w:rPr>
        <w:t xml:space="preserve">And, again, </w:t>
      </w:r>
      <w:r w:rsidR="0098151C">
        <w:rPr>
          <w:rFonts w:cs="Times New Roman"/>
          <w:szCs w:val="24"/>
        </w:rPr>
        <w:t xml:space="preserve">this can be accounted for in </w:t>
      </w:r>
      <w:r w:rsidR="00293B7E">
        <w:rPr>
          <w:rFonts w:cs="Times New Roman"/>
          <w:szCs w:val="24"/>
        </w:rPr>
        <w:t>the utility’s next</w:t>
      </w:r>
      <w:r w:rsidR="0098151C">
        <w:rPr>
          <w:rFonts w:cs="Times New Roman"/>
          <w:szCs w:val="24"/>
        </w:rPr>
        <w:t xml:space="preserve"> rate case.  This Commission’s policy is to normalize uncollectible expense</w:t>
      </w:r>
      <w:r w:rsidR="000632ED">
        <w:rPr>
          <w:rFonts w:cs="Times New Roman"/>
          <w:szCs w:val="24"/>
        </w:rPr>
        <w:t xml:space="preserve"> over a certain number of years tied to the frequency with which a utility files rate cases.  It is likely that this expense will be encompassed within the </w:t>
      </w:r>
      <w:r w:rsidR="00130F56">
        <w:rPr>
          <w:rFonts w:cs="Times New Roman"/>
          <w:szCs w:val="24"/>
        </w:rPr>
        <w:t>number of years over which the normalization calculation is performed.</w:t>
      </w:r>
    </w:p>
    <w:p w14:paraId="273B4F2C" w14:textId="77777777" w:rsidR="00130F56" w:rsidRPr="00130F56" w:rsidRDefault="00130F56" w:rsidP="00130F56">
      <w:pPr>
        <w:pStyle w:val="ListParagraph"/>
        <w:rPr>
          <w:rFonts w:cs="Times New Roman"/>
          <w:szCs w:val="24"/>
        </w:rPr>
      </w:pPr>
    </w:p>
    <w:p w14:paraId="2959243A" w14:textId="5E8E4E3B" w:rsidR="004F3EDB" w:rsidRDefault="0098151C" w:rsidP="006372D8">
      <w:pPr>
        <w:pStyle w:val="ListParagraph"/>
        <w:numPr>
          <w:ilvl w:val="0"/>
          <w:numId w:val="5"/>
        </w:numPr>
        <w:autoSpaceDE w:val="0"/>
        <w:autoSpaceDN w:val="0"/>
        <w:adjustRightInd w:val="0"/>
        <w:jc w:val="both"/>
        <w:rPr>
          <w:rFonts w:cs="Times New Roman"/>
          <w:szCs w:val="24"/>
        </w:rPr>
      </w:pPr>
      <w:r>
        <w:rPr>
          <w:rFonts w:cs="Times New Roman"/>
          <w:szCs w:val="24"/>
        </w:rPr>
        <w:t xml:space="preserve"> </w:t>
      </w:r>
      <w:r w:rsidR="004F3EDB" w:rsidRPr="00130F56">
        <w:rPr>
          <w:rFonts w:cs="Times New Roman"/>
          <w:szCs w:val="24"/>
        </w:rPr>
        <w:t>“</w:t>
      </w:r>
      <w:r w:rsidR="00130F56">
        <w:rPr>
          <w:rFonts w:cs="Times New Roman"/>
          <w:szCs w:val="24"/>
        </w:rPr>
        <w:t>I</w:t>
      </w:r>
      <w:r w:rsidR="004F3EDB" w:rsidRPr="00130F56">
        <w:rPr>
          <w:rFonts w:cs="Times New Roman"/>
          <w:szCs w:val="24"/>
        </w:rPr>
        <w:t>ncreases in administrative and financing costs associated with</w:t>
      </w:r>
      <w:r w:rsidR="00130F56">
        <w:rPr>
          <w:rFonts w:cs="Times New Roman"/>
          <w:szCs w:val="24"/>
        </w:rPr>
        <w:t xml:space="preserve"> </w:t>
      </w:r>
      <w:r w:rsidR="004F3EDB" w:rsidRPr="00130F56">
        <w:rPr>
          <w:rFonts w:cs="Times New Roman"/>
          <w:szCs w:val="24"/>
        </w:rPr>
        <w:t xml:space="preserve">arrearages and </w:t>
      </w:r>
      <w:r w:rsidR="00130F56">
        <w:rPr>
          <w:rFonts w:cs="Times New Roman"/>
          <w:szCs w:val="24"/>
        </w:rPr>
        <w:t xml:space="preserve"> </w:t>
      </w:r>
      <w:r w:rsidR="004F3EDB" w:rsidRPr="00130F56">
        <w:rPr>
          <w:rFonts w:cs="Times New Roman"/>
          <w:szCs w:val="24"/>
        </w:rPr>
        <w:t>uncollectible expenses”</w:t>
      </w:r>
      <w:r w:rsidR="00130F56">
        <w:rPr>
          <w:rFonts w:cs="Times New Roman"/>
          <w:szCs w:val="24"/>
        </w:rPr>
        <w:t>:</w:t>
      </w:r>
      <w:r w:rsidR="00297377">
        <w:rPr>
          <w:rFonts w:cs="Times New Roman"/>
          <w:szCs w:val="24"/>
        </w:rPr>
        <w:t xml:space="preserve"> What additional administrative </w:t>
      </w:r>
      <w:r w:rsidR="000E69EF">
        <w:rPr>
          <w:rFonts w:cs="Times New Roman"/>
          <w:szCs w:val="24"/>
        </w:rPr>
        <w:t xml:space="preserve">costs </w:t>
      </w:r>
      <w:r w:rsidR="00297377">
        <w:rPr>
          <w:rFonts w:cs="Times New Roman"/>
          <w:szCs w:val="24"/>
        </w:rPr>
        <w:t xml:space="preserve">would </w:t>
      </w:r>
      <w:r w:rsidR="008E685F">
        <w:rPr>
          <w:rFonts w:cs="Times New Roman"/>
          <w:szCs w:val="24"/>
        </w:rPr>
        <w:t xml:space="preserve">be </w:t>
      </w:r>
      <w:r w:rsidR="00297377">
        <w:rPr>
          <w:rFonts w:cs="Times New Roman"/>
          <w:szCs w:val="24"/>
        </w:rPr>
        <w:t>incur</w:t>
      </w:r>
      <w:r w:rsidR="008E685F">
        <w:rPr>
          <w:rFonts w:cs="Times New Roman"/>
          <w:szCs w:val="24"/>
        </w:rPr>
        <w:t>red</w:t>
      </w:r>
      <w:r w:rsidR="00297377">
        <w:rPr>
          <w:rFonts w:cs="Times New Roman"/>
          <w:szCs w:val="24"/>
        </w:rPr>
        <w:t xml:space="preserve">? </w:t>
      </w:r>
      <w:r w:rsidR="008E685F">
        <w:rPr>
          <w:rFonts w:cs="Times New Roman"/>
          <w:szCs w:val="24"/>
        </w:rPr>
        <w:t>The utilities</w:t>
      </w:r>
      <w:r w:rsidR="00A70B0B">
        <w:rPr>
          <w:rFonts w:cs="Times New Roman"/>
          <w:szCs w:val="24"/>
        </w:rPr>
        <w:t>’ revenue requirements include the cost of</w:t>
      </w:r>
      <w:r w:rsidR="00297377">
        <w:rPr>
          <w:rFonts w:cs="Times New Roman"/>
          <w:szCs w:val="24"/>
        </w:rPr>
        <w:t xml:space="preserve"> sufficient personnel</w:t>
      </w:r>
      <w:r w:rsidR="00A70B0B">
        <w:rPr>
          <w:rFonts w:cs="Times New Roman"/>
          <w:szCs w:val="24"/>
        </w:rPr>
        <w:t>, which are</w:t>
      </w:r>
      <w:r w:rsidR="00297377">
        <w:rPr>
          <w:rFonts w:cs="Times New Roman"/>
          <w:szCs w:val="24"/>
        </w:rPr>
        <w:t xml:space="preserve"> generally salaried rather than hourly.</w:t>
      </w:r>
      <w:r w:rsidR="005D474B">
        <w:rPr>
          <w:rFonts w:cs="Times New Roman"/>
          <w:szCs w:val="24"/>
        </w:rPr>
        <w:t xml:space="preserve"> </w:t>
      </w:r>
      <w:r w:rsidR="003C5EAA">
        <w:rPr>
          <w:rFonts w:cs="Times New Roman"/>
          <w:szCs w:val="24"/>
        </w:rPr>
        <w:t>If overtime is required, that can be addressed in a rate case.   And what are the additional financing costs?</w:t>
      </w:r>
      <w:r w:rsidR="00B05966">
        <w:rPr>
          <w:rFonts w:cs="Times New Roman"/>
          <w:szCs w:val="24"/>
        </w:rPr>
        <w:t xml:space="preserve">  </w:t>
      </w:r>
      <w:r w:rsidR="00153C5A">
        <w:rPr>
          <w:rFonts w:cs="Times New Roman"/>
          <w:szCs w:val="24"/>
        </w:rPr>
        <w:t xml:space="preserve">None </w:t>
      </w:r>
      <w:r w:rsidR="00BA0F52">
        <w:rPr>
          <w:rFonts w:cs="Times New Roman"/>
          <w:szCs w:val="24"/>
        </w:rPr>
        <w:t xml:space="preserve">of the utilities has </w:t>
      </w:r>
      <w:r w:rsidR="00153C5A">
        <w:rPr>
          <w:rFonts w:cs="Times New Roman"/>
          <w:szCs w:val="24"/>
        </w:rPr>
        <w:t>identified</w:t>
      </w:r>
      <w:r w:rsidR="00BA0F52">
        <w:rPr>
          <w:rFonts w:cs="Times New Roman"/>
          <w:szCs w:val="24"/>
        </w:rPr>
        <w:t xml:space="preserve"> any additional financing costs, or what the estimated amount of those costs would be</w:t>
      </w:r>
      <w:r w:rsidR="00153C5A">
        <w:rPr>
          <w:rFonts w:cs="Times New Roman"/>
          <w:szCs w:val="24"/>
        </w:rPr>
        <w:t>.</w:t>
      </w:r>
    </w:p>
    <w:p w14:paraId="5BCF855B" w14:textId="77777777" w:rsidR="0033278D" w:rsidRPr="0033278D" w:rsidRDefault="0033278D" w:rsidP="0033278D">
      <w:pPr>
        <w:pStyle w:val="ListParagraph"/>
        <w:rPr>
          <w:rFonts w:cs="Times New Roman"/>
          <w:szCs w:val="24"/>
        </w:rPr>
      </w:pPr>
    </w:p>
    <w:p w14:paraId="433BEE6B" w14:textId="3EA352D7" w:rsidR="004F3EDB" w:rsidRDefault="004F3EDB" w:rsidP="004F3EDB">
      <w:pPr>
        <w:pStyle w:val="ListParagraph"/>
        <w:numPr>
          <w:ilvl w:val="0"/>
          <w:numId w:val="5"/>
        </w:numPr>
        <w:autoSpaceDE w:val="0"/>
        <w:autoSpaceDN w:val="0"/>
        <w:adjustRightInd w:val="0"/>
        <w:jc w:val="both"/>
        <w:rPr>
          <w:rFonts w:cs="Times New Roman"/>
          <w:szCs w:val="24"/>
        </w:rPr>
      </w:pPr>
      <w:r w:rsidRPr="0033278D">
        <w:rPr>
          <w:rFonts w:cs="Times New Roman"/>
          <w:szCs w:val="24"/>
        </w:rPr>
        <w:t>“</w:t>
      </w:r>
      <w:r w:rsidR="0033278D">
        <w:rPr>
          <w:rFonts w:cs="Times New Roman"/>
          <w:szCs w:val="24"/>
        </w:rPr>
        <w:t>I</w:t>
      </w:r>
      <w:r w:rsidRPr="0033278D">
        <w:rPr>
          <w:rFonts w:cs="Times New Roman"/>
          <w:szCs w:val="24"/>
        </w:rPr>
        <w:t>ncreased need for outside services”</w:t>
      </w:r>
      <w:r w:rsidR="00BF491A">
        <w:rPr>
          <w:rFonts w:cs="Times New Roman"/>
          <w:szCs w:val="24"/>
        </w:rPr>
        <w:t xml:space="preserve">: </w:t>
      </w:r>
      <w:r w:rsidR="00BE1AB3">
        <w:rPr>
          <w:rFonts w:cs="Times New Roman"/>
          <w:szCs w:val="24"/>
        </w:rPr>
        <w:t>What additional outside services would a utility need</w:t>
      </w:r>
      <w:r w:rsidR="00FB2B80">
        <w:rPr>
          <w:rFonts w:cs="Times New Roman"/>
          <w:szCs w:val="24"/>
        </w:rPr>
        <w:t xml:space="preserve"> during the state of emergency</w:t>
      </w:r>
      <w:r w:rsidR="00BE1AB3">
        <w:rPr>
          <w:rFonts w:cs="Times New Roman"/>
          <w:szCs w:val="24"/>
        </w:rPr>
        <w:t xml:space="preserve">?  Again, none </w:t>
      </w:r>
      <w:r w:rsidR="00834BB5">
        <w:rPr>
          <w:rFonts w:cs="Times New Roman"/>
          <w:szCs w:val="24"/>
        </w:rPr>
        <w:t xml:space="preserve">of the utilities has </w:t>
      </w:r>
      <w:r w:rsidR="00BE1AB3">
        <w:rPr>
          <w:rFonts w:cs="Times New Roman"/>
          <w:szCs w:val="24"/>
        </w:rPr>
        <w:t>identified</w:t>
      </w:r>
      <w:r w:rsidR="00834BB5">
        <w:rPr>
          <w:rFonts w:cs="Times New Roman"/>
          <w:szCs w:val="24"/>
        </w:rPr>
        <w:t xml:space="preserve"> any</w:t>
      </w:r>
      <w:r w:rsidR="00BE1AB3">
        <w:rPr>
          <w:rFonts w:cs="Times New Roman"/>
          <w:szCs w:val="24"/>
        </w:rPr>
        <w:t>.</w:t>
      </w:r>
    </w:p>
    <w:p w14:paraId="6D364A19" w14:textId="77777777" w:rsidR="00BE1AB3" w:rsidRPr="00BE1AB3" w:rsidRDefault="00BE1AB3" w:rsidP="00BE1AB3">
      <w:pPr>
        <w:pStyle w:val="ListParagraph"/>
        <w:rPr>
          <w:rFonts w:cs="Times New Roman"/>
          <w:szCs w:val="24"/>
        </w:rPr>
      </w:pPr>
    </w:p>
    <w:p w14:paraId="56C58902" w14:textId="77777777" w:rsidR="004F3EDB" w:rsidRDefault="00BE1AB3" w:rsidP="004F3EDB">
      <w:pPr>
        <w:pStyle w:val="ListParagraph"/>
        <w:numPr>
          <w:ilvl w:val="0"/>
          <w:numId w:val="5"/>
        </w:numPr>
        <w:autoSpaceDE w:val="0"/>
        <w:autoSpaceDN w:val="0"/>
        <w:adjustRightInd w:val="0"/>
        <w:jc w:val="both"/>
        <w:rPr>
          <w:rFonts w:cs="Times New Roman"/>
          <w:szCs w:val="24"/>
        </w:rPr>
      </w:pPr>
      <w:r>
        <w:rPr>
          <w:rFonts w:cs="Times New Roman"/>
          <w:szCs w:val="24"/>
        </w:rPr>
        <w:t>“T</w:t>
      </w:r>
      <w:r w:rsidR="004F3EDB" w:rsidRPr="00BE1AB3">
        <w:rPr>
          <w:rFonts w:cs="Times New Roman"/>
          <w:szCs w:val="24"/>
        </w:rPr>
        <w:t>ools”</w:t>
      </w:r>
      <w:r>
        <w:rPr>
          <w:rFonts w:cs="Times New Roman"/>
          <w:szCs w:val="24"/>
        </w:rPr>
        <w:t>: Don’t the utilities already have the tools necessary to provide utility services? What additional tools would they need?</w:t>
      </w:r>
    </w:p>
    <w:p w14:paraId="7325E92A" w14:textId="77777777" w:rsidR="00BE1AB3" w:rsidRPr="00BE1AB3" w:rsidRDefault="00BE1AB3" w:rsidP="00BE1AB3">
      <w:pPr>
        <w:pStyle w:val="ListParagraph"/>
        <w:rPr>
          <w:rFonts w:cs="Times New Roman"/>
          <w:szCs w:val="24"/>
        </w:rPr>
      </w:pPr>
    </w:p>
    <w:p w14:paraId="106EEF7D" w14:textId="3054EBBD" w:rsidR="004F3EDB" w:rsidRDefault="00BE1AB3" w:rsidP="004F3EDB">
      <w:pPr>
        <w:pStyle w:val="ListParagraph"/>
        <w:numPr>
          <w:ilvl w:val="0"/>
          <w:numId w:val="5"/>
        </w:numPr>
        <w:autoSpaceDE w:val="0"/>
        <w:autoSpaceDN w:val="0"/>
        <w:adjustRightInd w:val="0"/>
        <w:jc w:val="both"/>
        <w:rPr>
          <w:rFonts w:cs="Times New Roman"/>
          <w:szCs w:val="24"/>
        </w:rPr>
      </w:pPr>
      <w:r>
        <w:rPr>
          <w:rFonts w:cs="Times New Roman"/>
          <w:szCs w:val="24"/>
        </w:rPr>
        <w:t>“M</w:t>
      </w:r>
      <w:r w:rsidR="004F3EDB" w:rsidRPr="00BE1AB3">
        <w:rPr>
          <w:rFonts w:cs="Times New Roman"/>
          <w:szCs w:val="24"/>
        </w:rPr>
        <w:t>aterials”</w:t>
      </w:r>
      <w:r>
        <w:rPr>
          <w:rFonts w:cs="Times New Roman"/>
          <w:szCs w:val="24"/>
        </w:rPr>
        <w:t xml:space="preserve"> and </w:t>
      </w:r>
      <w:r w:rsidR="004F3EDB" w:rsidRPr="00BE1AB3">
        <w:rPr>
          <w:rFonts w:cs="Times New Roman"/>
          <w:szCs w:val="24"/>
        </w:rPr>
        <w:t>“</w:t>
      </w:r>
      <w:r>
        <w:rPr>
          <w:rFonts w:cs="Times New Roman"/>
          <w:szCs w:val="24"/>
        </w:rPr>
        <w:t>S</w:t>
      </w:r>
      <w:r w:rsidR="004F3EDB" w:rsidRPr="00BE1AB3">
        <w:rPr>
          <w:rFonts w:cs="Times New Roman"/>
          <w:szCs w:val="24"/>
        </w:rPr>
        <w:t>upplies”</w:t>
      </w:r>
      <w:r>
        <w:rPr>
          <w:rFonts w:cs="Times New Roman"/>
          <w:szCs w:val="24"/>
        </w:rPr>
        <w:t>: Utilities already receive an allowance for materials and supplies in their rate bases</w:t>
      </w:r>
      <w:r w:rsidR="00BE6D8B">
        <w:rPr>
          <w:rFonts w:cs="Times New Roman"/>
          <w:szCs w:val="24"/>
        </w:rPr>
        <w:t>, which is calculated on a 13-month average</w:t>
      </w:r>
      <w:r>
        <w:rPr>
          <w:rFonts w:cs="Times New Roman"/>
          <w:szCs w:val="24"/>
        </w:rPr>
        <w:t xml:space="preserve">.  </w:t>
      </w:r>
      <w:r w:rsidR="001F6ADA">
        <w:rPr>
          <w:rFonts w:cs="Times New Roman"/>
          <w:szCs w:val="24"/>
        </w:rPr>
        <w:t>Any increased costs can be addressed in their next base rate case.</w:t>
      </w:r>
    </w:p>
    <w:p w14:paraId="0AE65260" w14:textId="77777777" w:rsidR="00BE1AB3" w:rsidRPr="00BE1AB3" w:rsidRDefault="00BE1AB3" w:rsidP="00BE1AB3">
      <w:pPr>
        <w:pStyle w:val="ListParagraph"/>
        <w:rPr>
          <w:rFonts w:cs="Times New Roman"/>
          <w:szCs w:val="24"/>
        </w:rPr>
      </w:pPr>
    </w:p>
    <w:p w14:paraId="40F2D6AF" w14:textId="7982BC6A" w:rsidR="004F3EDB" w:rsidRDefault="004F3EDB" w:rsidP="00BE1AB3">
      <w:pPr>
        <w:pStyle w:val="ListParagraph"/>
        <w:numPr>
          <w:ilvl w:val="0"/>
          <w:numId w:val="5"/>
        </w:numPr>
        <w:autoSpaceDE w:val="0"/>
        <w:autoSpaceDN w:val="0"/>
        <w:adjustRightInd w:val="0"/>
        <w:jc w:val="both"/>
        <w:rPr>
          <w:rFonts w:cs="Times New Roman"/>
          <w:szCs w:val="24"/>
        </w:rPr>
      </w:pPr>
      <w:r w:rsidRPr="00BE1AB3">
        <w:rPr>
          <w:rFonts w:cs="Times New Roman"/>
          <w:szCs w:val="24"/>
        </w:rPr>
        <w:lastRenderedPageBreak/>
        <w:t>“</w:t>
      </w:r>
      <w:r w:rsidR="00BE1AB3">
        <w:rPr>
          <w:rFonts w:cs="Times New Roman"/>
          <w:szCs w:val="24"/>
        </w:rPr>
        <w:t>O</w:t>
      </w:r>
      <w:r w:rsidRPr="00BE1AB3">
        <w:rPr>
          <w:rFonts w:cs="Times New Roman"/>
          <w:szCs w:val="24"/>
        </w:rPr>
        <w:t>ther things</w:t>
      </w:r>
      <w:r w:rsidR="00BE1AB3">
        <w:rPr>
          <w:rFonts w:cs="Times New Roman"/>
          <w:szCs w:val="24"/>
        </w:rPr>
        <w:t>”: The</w:t>
      </w:r>
      <w:r w:rsidR="00A92CDA">
        <w:rPr>
          <w:rFonts w:cs="Times New Roman"/>
          <w:szCs w:val="24"/>
        </w:rPr>
        <w:t xml:space="preserve"> wide-open door </w:t>
      </w:r>
      <w:r w:rsidR="00E42FE8">
        <w:rPr>
          <w:rFonts w:cs="Times New Roman"/>
          <w:szCs w:val="24"/>
        </w:rPr>
        <w:t>this</w:t>
      </w:r>
      <w:r w:rsidR="00A92CDA">
        <w:rPr>
          <w:rFonts w:cs="Times New Roman"/>
          <w:szCs w:val="24"/>
        </w:rPr>
        <w:t xml:space="preserve"> </w:t>
      </w:r>
      <w:r w:rsidR="00E42FE8">
        <w:rPr>
          <w:rFonts w:cs="Times New Roman"/>
          <w:szCs w:val="24"/>
        </w:rPr>
        <w:t xml:space="preserve">catch-all </w:t>
      </w:r>
      <w:r w:rsidR="00A92CDA">
        <w:rPr>
          <w:rFonts w:cs="Times New Roman"/>
          <w:szCs w:val="24"/>
        </w:rPr>
        <w:t>provides</w:t>
      </w:r>
      <w:r w:rsidR="00E42FE8">
        <w:rPr>
          <w:rFonts w:cs="Times New Roman"/>
          <w:szCs w:val="24"/>
        </w:rPr>
        <w:t xml:space="preserve"> speaks for itself.</w:t>
      </w:r>
      <w:r w:rsidR="00027F6E" w:rsidRPr="00027F6E">
        <w:rPr>
          <w:rFonts w:cs="Times New Roman"/>
          <w:szCs w:val="24"/>
        </w:rPr>
        <w:t xml:space="preserve"> </w:t>
      </w:r>
      <w:r w:rsidR="00027F6E">
        <w:rPr>
          <w:rFonts w:cs="Times New Roman"/>
          <w:szCs w:val="24"/>
        </w:rPr>
        <w:t xml:space="preserve">One utility mentioned additional trucks and personnel; but the trucks and personnel are already in </w:t>
      </w:r>
      <w:r w:rsidR="00857517">
        <w:rPr>
          <w:rFonts w:cs="Times New Roman"/>
          <w:szCs w:val="24"/>
        </w:rPr>
        <w:t xml:space="preserve">its </w:t>
      </w:r>
      <w:r w:rsidR="00027F6E">
        <w:rPr>
          <w:rFonts w:cs="Times New Roman"/>
          <w:szCs w:val="24"/>
        </w:rPr>
        <w:t>revenue requirement.</w:t>
      </w:r>
    </w:p>
    <w:p w14:paraId="74D78B7A" w14:textId="77777777" w:rsidR="0075416F" w:rsidRPr="0075416F" w:rsidRDefault="0075416F" w:rsidP="0075416F">
      <w:pPr>
        <w:pStyle w:val="ListParagraph"/>
        <w:rPr>
          <w:rFonts w:cs="Times New Roman"/>
          <w:szCs w:val="24"/>
        </w:rPr>
      </w:pPr>
    </w:p>
    <w:p w14:paraId="37D3C9A5" w14:textId="7F2080C0" w:rsidR="008D6314" w:rsidRDefault="00E450BE" w:rsidP="003E485A">
      <w:pPr>
        <w:autoSpaceDE w:val="0"/>
        <w:autoSpaceDN w:val="0"/>
        <w:adjustRightInd w:val="0"/>
        <w:spacing w:line="480" w:lineRule="auto"/>
        <w:ind w:firstLine="720"/>
        <w:jc w:val="both"/>
        <w:rPr>
          <w:rFonts w:cs="Times New Roman"/>
          <w:szCs w:val="24"/>
        </w:rPr>
      </w:pPr>
      <w:r>
        <w:rPr>
          <w:rFonts w:cs="Times New Roman"/>
          <w:szCs w:val="24"/>
        </w:rPr>
        <w:t>1</w:t>
      </w:r>
      <w:r w:rsidR="00F62099">
        <w:rPr>
          <w:rFonts w:cs="Times New Roman"/>
          <w:szCs w:val="24"/>
        </w:rPr>
        <w:t>1</w:t>
      </w:r>
      <w:r w:rsidR="003E485A">
        <w:rPr>
          <w:rFonts w:cs="Times New Roman"/>
          <w:szCs w:val="24"/>
        </w:rPr>
        <w:t>.</w:t>
      </w:r>
      <w:r w:rsidR="003E485A">
        <w:rPr>
          <w:rFonts w:cs="Times New Roman"/>
          <w:szCs w:val="24"/>
        </w:rPr>
        <w:tab/>
      </w:r>
      <w:r w:rsidR="008566B9">
        <w:rPr>
          <w:rFonts w:cs="Times New Roman"/>
          <w:szCs w:val="24"/>
        </w:rPr>
        <w:t>S</w:t>
      </w:r>
      <w:r w:rsidR="00F62099">
        <w:rPr>
          <w:rFonts w:cs="Times New Roman"/>
          <w:szCs w:val="24"/>
        </w:rPr>
        <w:t>even</w:t>
      </w:r>
      <w:r w:rsidR="008566B9">
        <w:rPr>
          <w:rFonts w:cs="Times New Roman"/>
          <w:szCs w:val="24"/>
        </w:rPr>
        <w:t>th</w:t>
      </w:r>
      <w:r w:rsidR="00F6686D">
        <w:rPr>
          <w:rFonts w:cs="Times New Roman"/>
          <w:szCs w:val="24"/>
        </w:rPr>
        <w:t xml:space="preserve">: </w:t>
      </w:r>
      <w:r w:rsidR="007E0655">
        <w:rPr>
          <w:rFonts w:cs="Times New Roman"/>
          <w:szCs w:val="24"/>
        </w:rPr>
        <w:t>Assuming that the Commission is inclined to grant the Motion, w</w:t>
      </w:r>
      <w:r w:rsidR="00F6686D">
        <w:rPr>
          <w:rFonts w:cs="Times New Roman"/>
          <w:szCs w:val="24"/>
        </w:rPr>
        <w:t xml:space="preserve">hat criteria should be used to determine whether the costs are “incremental” </w:t>
      </w:r>
      <w:r w:rsidR="00453621">
        <w:rPr>
          <w:rFonts w:cs="Times New Roman"/>
          <w:szCs w:val="24"/>
        </w:rPr>
        <w:t>as compared to those that would have been incurred in the utility’s normal cost of business?</w:t>
      </w:r>
      <w:r w:rsidR="007E0B36">
        <w:rPr>
          <w:rFonts w:cs="Times New Roman"/>
          <w:szCs w:val="24"/>
        </w:rPr>
        <w:t xml:space="preserve"> The Motion proposes no such criteria.</w:t>
      </w:r>
    </w:p>
    <w:p w14:paraId="52EB8333" w14:textId="30887281" w:rsidR="007E0B36" w:rsidRDefault="009B740D" w:rsidP="003E485A">
      <w:pPr>
        <w:autoSpaceDE w:val="0"/>
        <w:autoSpaceDN w:val="0"/>
        <w:adjustRightInd w:val="0"/>
        <w:spacing w:line="480" w:lineRule="auto"/>
        <w:ind w:firstLine="720"/>
        <w:jc w:val="both"/>
        <w:rPr>
          <w:rFonts w:cs="Times New Roman"/>
          <w:szCs w:val="24"/>
        </w:rPr>
      </w:pPr>
      <w:r>
        <w:rPr>
          <w:rFonts w:cs="Times New Roman"/>
          <w:szCs w:val="24"/>
        </w:rPr>
        <w:t>1</w:t>
      </w:r>
      <w:r w:rsidR="00F62099">
        <w:rPr>
          <w:rFonts w:cs="Times New Roman"/>
          <w:szCs w:val="24"/>
        </w:rPr>
        <w:t>2</w:t>
      </w:r>
      <w:r w:rsidR="007E0B36">
        <w:rPr>
          <w:rFonts w:cs="Times New Roman"/>
          <w:szCs w:val="24"/>
        </w:rPr>
        <w:t>.</w:t>
      </w:r>
      <w:r w:rsidR="007E0B36">
        <w:rPr>
          <w:rFonts w:cs="Times New Roman"/>
          <w:szCs w:val="24"/>
        </w:rPr>
        <w:tab/>
      </w:r>
      <w:r w:rsidR="00F62099">
        <w:rPr>
          <w:rFonts w:cs="Times New Roman"/>
          <w:szCs w:val="24"/>
        </w:rPr>
        <w:t>Eigh</w:t>
      </w:r>
      <w:r w:rsidR="0057380E">
        <w:rPr>
          <w:rFonts w:cs="Times New Roman"/>
          <w:szCs w:val="24"/>
        </w:rPr>
        <w:t>th</w:t>
      </w:r>
      <w:r w:rsidR="002F36B5">
        <w:rPr>
          <w:rFonts w:cs="Times New Roman"/>
          <w:szCs w:val="24"/>
        </w:rPr>
        <w:t xml:space="preserve">: assuming that all of the above issues are addressed, why should utilities be made whole for incremental costs? </w:t>
      </w:r>
      <w:r w:rsidR="00E3034D">
        <w:rPr>
          <w:rFonts w:cs="Times New Roman"/>
          <w:szCs w:val="24"/>
        </w:rPr>
        <w:t xml:space="preserve">Ratepayers </w:t>
      </w:r>
      <w:r w:rsidR="00BA191B">
        <w:rPr>
          <w:rFonts w:cs="Times New Roman"/>
          <w:szCs w:val="24"/>
        </w:rPr>
        <w:t xml:space="preserve">will ultimately pay these costs, and many of them are likely to have been far more adversely affected than the utilities. </w:t>
      </w:r>
      <w:r w:rsidR="002D1A98">
        <w:rPr>
          <w:rFonts w:cs="Times New Roman"/>
          <w:szCs w:val="24"/>
        </w:rPr>
        <w:t xml:space="preserve"> We do not know yet the full impact of the </w:t>
      </w:r>
      <w:r w:rsidR="00B44DAA">
        <w:rPr>
          <w:rFonts w:cs="Times New Roman"/>
          <w:szCs w:val="24"/>
        </w:rPr>
        <w:t>COVID</w:t>
      </w:r>
      <w:r w:rsidR="002D1A98">
        <w:rPr>
          <w:rFonts w:cs="Times New Roman"/>
          <w:szCs w:val="24"/>
        </w:rPr>
        <w:t>-19 crisis on Delaware’s</w:t>
      </w:r>
      <w:r w:rsidR="00157FFA">
        <w:rPr>
          <w:rFonts w:cs="Times New Roman"/>
          <w:szCs w:val="24"/>
        </w:rPr>
        <w:t xml:space="preserve"> employment, but </w:t>
      </w:r>
      <w:r w:rsidR="00CA3DA0">
        <w:rPr>
          <w:rFonts w:cs="Times New Roman"/>
          <w:szCs w:val="24"/>
        </w:rPr>
        <w:t>we do know Delaware received “61,842 unemployment claims from March 15, 2020 to April 11, 2020.”</w:t>
      </w:r>
      <w:r w:rsidR="00CA3DA0">
        <w:rPr>
          <w:rStyle w:val="FootnoteReference"/>
          <w:rFonts w:cs="Times New Roman"/>
          <w:szCs w:val="24"/>
        </w:rPr>
        <w:footnoteReference w:id="15"/>
      </w:r>
      <w:r w:rsidR="00CA3DA0">
        <w:rPr>
          <w:rFonts w:cs="Times New Roman"/>
          <w:szCs w:val="24"/>
        </w:rPr>
        <w:t xml:space="preserve">  This is “just under the total claims from the past 23 months.”</w:t>
      </w:r>
      <w:r w:rsidR="00CA3DA0">
        <w:rPr>
          <w:rStyle w:val="FootnoteReference"/>
          <w:rFonts w:cs="Times New Roman"/>
          <w:szCs w:val="24"/>
        </w:rPr>
        <w:footnoteReference w:id="16"/>
      </w:r>
      <w:r w:rsidR="0057380E">
        <w:rPr>
          <w:rFonts w:cs="Times New Roman"/>
          <w:szCs w:val="24"/>
        </w:rPr>
        <w:t xml:space="preserve">  These captive customers have to purchase PPE for themselves.  They are not paid back for their purchases and certainly do not earn a return on their purchase.</w:t>
      </w:r>
      <w:r w:rsidR="00E95E17">
        <w:rPr>
          <w:rFonts w:cs="Times New Roman"/>
          <w:szCs w:val="24"/>
        </w:rPr>
        <w:t xml:space="preserve">  </w:t>
      </w:r>
      <w:r w:rsidR="00D17FED">
        <w:rPr>
          <w:rFonts w:cs="Times New Roman"/>
          <w:szCs w:val="24"/>
        </w:rPr>
        <w:t>Our utilities have been granted returns on equity that far exceed the return on low-risk assets; if the Commission authorizes dollar-for-dollar recovery of costs for utilities, then it should also reduce their allowed returns to something commensurate with the risks they actually face.</w:t>
      </w:r>
    </w:p>
    <w:p w14:paraId="3BC2E7C9" w14:textId="6BAF15C8" w:rsidR="00D17FED" w:rsidRDefault="008726B8" w:rsidP="003E485A">
      <w:pPr>
        <w:autoSpaceDE w:val="0"/>
        <w:autoSpaceDN w:val="0"/>
        <w:adjustRightInd w:val="0"/>
        <w:spacing w:line="480" w:lineRule="auto"/>
        <w:ind w:firstLine="720"/>
        <w:jc w:val="both"/>
        <w:rPr>
          <w:rFonts w:cs="Times New Roman"/>
          <w:szCs w:val="24"/>
        </w:rPr>
      </w:pPr>
      <w:r>
        <w:rPr>
          <w:rFonts w:cs="Times New Roman"/>
          <w:szCs w:val="24"/>
        </w:rPr>
        <w:t>1</w:t>
      </w:r>
      <w:r w:rsidR="00A36300">
        <w:rPr>
          <w:rFonts w:cs="Times New Roman"/>
          <w:szCs w:val="24"/>
        </w:rPr>
        <w:t>3</w:t>
      </w:r>
      <w:r w:rsidR="00D17FED">
        <w:rPr>
          <w:rFonts w:cs="Times New Roman"/>
          <w:szCs w:val="24"/>
        </w:rPr>
        <w:t>.</w:t>
      </w:r>
      <w:r w:rsidR="00D17FED">
        <w:rPr>
          <w:rFonts w:cs="Times New Roman"/>
          <w:szCs w:val="24"/>
        </w:rPr>
        <w:tab/>
      </w:r>
      <w:r w:rsidR="00B00890">
        <w:rPr>
          <w:rFonts w:cs="Times New Roman"/>
          <w:szCs w:val="24"/>
        </w:rPr>
        <w:t xml:space="preserve">Staff’s Motion does include offsets to the regulatory asset that the utilities may receive from federal sources.  But </w:t>
      </w:r>
      <w:r w:rsidR="00BA08CA">
        <w:rPr>
          <w:rFonts w:cs="Times New Roman"/>
          <w:szCs w:val="24"/>
        </w:rPr>
        <w:t xml:space="preserve">the </w:t>
      </w:r>
      <w:r w:rsidR="00126F0D">
        <w:rPr>
          <w:rFonts w:cs="Times New Roman"/>
          <w:szCs w:val="24"/>
        </w:rPr>
        <w:t xml:space="preserve">envisioned </w:t>
      </w:r>
      <w:r w:rsidR="00BA08CA">
        <w:rPr>
          <w:rFonts w:cs="Times New Roman"/>
          <w:szCs w:val="24"/>
        </w:rPr>
        <w:t>offset</w:t>
      </w:r>
      <w:r w:rsidR="00B00890">
        <w:rPr>
          <w:rFonts w:cs="Times New Roman"/>
          <w:szCs w:val="24"/>
        </w:rPr>
        <w:t xml:space="preserve"> seems to be limited to</w:t>
      </w:r>
      <w:r w:rsidR="00BA08CA">
        <w:rPr>
          <w:rFonts w:cs="Times New Roman"/>
          <w:szCs w:val="24"/>
        </w:rPr>
        <w:t xml:space="preserve"> stimulus funds</w:t>
      </w:r>
      <w:r w:rsidR="00B00890">
        <w:rPr>
          <w:rFonts w:cs="Times New Roman"/>
          <w:szCs w:val="24"/>
        </w:rPr>
        <w:t xml:space="preserve">.  What about </w:t>
      </w:r>
      <w:r w:rsidR="00BA08CA">
        <w:rPr>
          <w:rFonts w:cs="Times New Roman"/>
          <w:szCs w:val="24"/>
        </w:rPr>
        <w:t>beneficial tax treatment</w:t>
      </w:r>
      <w:r w:rsidR="00A70D98">
        <w:rPr>
          <w:rFonts w:cs="Times New Roman"/>
          <w:szCs w:val="24"/>
        </w:rPr>
        <w:t xml:space="preserve">s such as employee retention credits and net operating loss carry-back </w:t>
      </w:r>
      <w:r w:rsidR="0075416F">
        <w:rPr>
          <w:rFonts w:cs="Times New Roman"/>
          <w:szCs w:val="24"/>
        </w:rPr>
        <w:t xml:space="preserve">provisions for 2018, 2019 and 2020, all of which are included in the CARES Act? </w:t>
      </w:r>
      <w:r w:rsidR="0075416F">
        <w:rPr>
          <w:rFonts w:cs="Times New Roman"/>
          <w:szCs w:val="24"/>
        </w:rPr>
        <w:lastRenderedPageBreak/>
        <w:t>What about</w:t>
      </w:r>
      <w:r w:rsidR="00BA08CA">
        <w:rPr>
          <w:rFonts w:cs="Times New Roman"/>
          <w:szCs w:val="24"/>
        </w:rPr>
        <w:t xml:space="preserve"> other non-cash stimulus or incentives that provide benefits to the utilities?</w:t>
      </w:r>
      <w:r w:rsidR="00BE230A">
        <w:rPr>
          <w:rFonts w:cs="Times New Roman"/>
          <w:szCs w:val="24"/>
        </w:rPr>
        <w:t xml:space="preserve"> And what if the relief the utilities receive actually exceeds the incremental costs? Will the utilities agree that that excess constitutes a regulatory liability to be returned to ratepayers?</w:t>
      </w:r>
      <w:r w:rsidR="00A731CF">
        <w:rPr>
          <w:rFonts w:cs="Times New Roman"/>
          <w:szCs w:val="24"/>
        </w:rPr>
        <w:t xml:space="preserve">  Fairness would dictate that if utilities will be permitted to record and defer </w:t>
      </w:r>
      <w:r w:rsidR="00B44DAA">
        <w:rPr>
          <w:rFonts w:cs="Times New Roman"/>
          <w:szCs w:val="24"/>
        </w:rPr>
        <w:t>COVID</w:t>
      </w:r>
      <w:r w:rsidR="00A731CF">
        <w:rPr>
          <w:rFonts w:cs="Times New Roman"/>
          <w:szCs w:val="24"/>
        </w:rPr>
        <w:t xml:space="preserve">-19 related costs as a regulatory asset, then any benefit they receive that exceeds the amount </w:t>
      </w:r>
      <w:r w:rsidR="00A504B5">
        <w:rPr>
          <w:rFonts w:cs="Times New Roman"/>
          <w:szCs w:val="24"/>
        </w:rPr>
        <w:t>o</w:t>
      </w:r>
      <w:r w:rsidR="00A731CF">
        <w:rPr>
          <w:rFonts w:cs="Times New Roman"/>
          <w:szCs w:val="24"/>
        </w:rPr>
        <w:t>f that asset should be recorded and deferred as a regulatory liability.</w:t>
      </w:r>
    </w:p>
    <w:p w14:paraId="30152793" w14:textId="548864E1" w:rsidR="00C82683" w:rsidRDefault="00E0061E" w:rsidP="00777F82">
      <w:pPr>
        <w:autoSpaceDE w:val="0"/>
        <w:autoSpaceDN w:val="0"/>
        <w:adjustRightInd w:val="0"/>
        <w:spacing w:line="480" w:lineRule="auto"/>
        <w:jc w:val="both"/>
        <w:rPr>
          <w:rFonts w:cs="Times New Roman"/>
          <w:szCs w:val="24"/>
        </w:rPr>
      </w:pPr>
      <w:r>
        <w:rPr>
          <w:rFonts w:cs="Times New Roman"/>
          <w:szCs w:val="24"/>
        </w:rPr>
        <w:tab/>
        <w:t>1</w:t>
      </w:r>
      <w:r w:rsidR="00F60C3B">
        <w:rPr>
          <w:rFonts w:cs="Times New Roman"/>
          <w:szCs w:val="24"/>
        </w:rPr>
        <w:t>4</w:t>
      </w:r>
      <w:r>
        <w:rPr>
          <w:rFonts w:cs="Times New Roman"/>
          <w:szCs w:val="24"/>
        </w:rPr>
        <w:t>.</w:t>
      </w:r>
      <w:r>
        <w:rPr>
          <w:rFonts w:cs="Times New Roman"/>
          <w:szCs w:val="24"/>
        </w:rPr>
        <w:tab/>
      </w:r>
      <w:r w:rsidR="006F5EDC">
        <w:rPr>
          <w:rFonts w:cs="Times New Roman"/>
          <w:szCs w:val="24"/>
        </w:rPr>
        <w:t xml:space="preserve">Finally, are there any actions the utilities can take to </w:t>
      </w:r>
      <w:r w:rsidR="00777F82">
        <w:rPr>
          <w:rFonts w:cs="Times New Roman"/>
          <w:szCs w:val="24"/>
        </w:rPr>
        <w:t xml:space="preserve">mitigate discretionary operating </w:t>
      </w:r>
      <w:r w:rsidR="006F5EDC">
        <w:rPr>
          <w:rFonts w:cs="Times New Roman"/>
          <w:szCs w:val="24"/>
        </w:rPr>
        <w:t xml:space="preserve">costs? </w:t>
      </w:r>
      <w:r w:rsidR="00777F82">
        <w:rPr>
          <w:rFonts w:cs="Times New Roman"/>
          <w:szCs w:val="24"/>
        </w:rPr>
        <w:t xml:space="preserve"> For example, paying executive incentive benefits is unnecessary to provide utility services.  </w:t>
      </w:r>
      <w:r w:rsidR="00CA3DA0">
        <w:rPr>
          <w:rFonts w:cs="Times New Roman"/>
          <w:szCs w:val="24"/>
        </w:rPr>
        <w:t xml:space="preserve">The utilities could forego dividends to shareholder to retain cash, as General Motors has </w:t>
      </w:r>
      <w:r w:rsidR="004010C9">
        <w:rPr>
          <w:rFonts w:cs="Times New Roman"/>
          <w:szCs w:val="24"/>
        </w:rPr>
        <w:t>done</w:t>
      </w:r>
      <w:r w:rsidR="00CA3DA0">
        <w:rPr>
          <w:rFonts w:cs="Times New Roman"/>
          <w:szCs w:val="24"/>
        </w:rPr>
        <w:t>.</w:t>
      </w:r>
      <w:r w:rsidR="00CA3DA0">
        <w:rPr>
          <w:rStyle w:val="FootnoteReference"/>
          <w:rFonts w:cs="Times New Roman"/>
          <w:szCs w:val="24"/>
        </w:rPr>
        <w:footnoteReference w:id="17"/>
      </w:r>
      <w:r w:rsidR="00CA3DA0">
        <w:rPr>
          <w:rFonts w:cs="Times New Roman"/>
          <w:szCs w:val="24"/>
        </w:rPr>
        <w:t xml:space="preserve"> </w:t>
      </w:r>
      <w:r w:rsidR="00AD10D6">
        <w:rPr>
          <w:rFonts w:cs="Times New Roman"/>
          <w:szCs w:val="24"/>
        </w:rPr>
        <w:t xml:space="preserve">That </w:t>
      </w:r>
      <w:r w:rsidR="00777F82">
        <w:rPr>
          <w:rFonts w:cs="Times New Roman"/>
          <w:szCs w:val="24"/>
        </w:rPr>
        <w:t xml:space="preserve">would give the utilities additional money to pay any incremental costs that they may incur due to </w:t>
      </w:r>
      <w:r w:rsidR="00B44DAA">
        <w:rPr>
          <w:rFonts w:cs="Times New Roman"/>
          <w:szCs w:val="24"/>
        </w:rPr>
        <w:t>COVID</w:t>
      </w:r>
      <w:r w:rsidR="00777F82">
        <w:rPr>
          <w:rFonts w:cs="Times New Roman"/>
          <w:szCs w:val="24"/>
        </w:rPr>
        <w:t>-19.</w:t>
      </w:r>
      <w:r w:rsidR="00F02E1D">
        <w:rPr>
          <w:rFonts w:cs="Times New Roman"/>
          <w:szCs w:val="24"/>
        </w:rPr>
        <w:t xml:space="preserve">  The utilities could </w:t>
      </w:r>
      <w:r w:rsidR="00F548BA">
        <w:rPr>
          <w:rFonts w:cs="Times New Roman"/>
          <w:szCs w:val="24"/>
        </w:rPr>
        <w:t xml:space="preserve">reduce </w:t>
      </w:r>
      <w:r w:rsidR="00F02E1D">
        <w:rPr>
          <w:rFonts w:cs="Times New Roman"/>
          <w:szCs w:val="24"/>
        </w:rPr>
        <w:t xml:space="preserve">the pay of their </w:t>
      </w:r>
      <w:r w:rsidR="00041C61">
        <w:rPr>
          <w:rFonts w:cs="Times New Roman"/>
          <w:szCs w:val="24"/>
        </w:rPr>
        <w:t>executive</w:t>
      </w:r>
      <w:r w:rsidR="00F02E1D">
        <w:rPr>
          <w:rFonts w:cs="Times New Roman"/>
          <w:szCs w:val="24"/>
        </w:rPr>
        <w:t>s</w:t>
      </w:r>
      <w:r w:rsidR="00DC402A">
        <w:rPr>
          <w:rFonts w:cs="Times New Roman"/>
          <w:szCs w:val="24"/>
        </w:rPr>
        <w:t>,</w:t>
      </w:r>
      <w:r w:rsidR="00F02E1D">
        <w:rPr>
          <w:rFonts w:cs="Times New Roman"/>
          <w:szCs w:val="24"/>
        </w:rPr>
        <w:t xml:space="preserve"> as many companies have done.</w:t>
      </w:r>
      <w:r w:rsidR="00F02E1D">
        <w:rPr>
          <w:rStyle w:val="FootnoteReference"/>
          <w:rFonts w:cs="Times New Roman"/>
          <w:szCs w:val="24"/>
        </w:rPr>
        <w:footnoteReference w:id="18"/>
      </w:r>
      <w:r w:rsidR="00777F82">
        <w:rPr>
          <w:rFonts w:cs="Times New Roman"/>
          <w:szCs w:val="24"/>
        </w:rPr>
        <w:t xml:space="preserve">  The DPA also expects that costs of attending industry conferences are being saved </w:t>
      </w:r>
      <w:r w:rsidR="009816F9">
        <w:rPr>
          <w:rFonts w:cs="Times New Roman"/>
          <w:szCs w:val="24"/>
        </w:rPr>
        <w:t xml:space="preserve">because </w:t>
      </w:r>
      <w:r w:rsidR="00777F82">
        <w:rPr>
          <w:rFonts w:cs="Times New Roman"/>
          <w:szCs w:val="24"/>
        </w:rPr>
        <w:t>those conferences have been canceled.  If the conferences have not been canceled, the utilities could impose a moratorium on employees attending them.  Likewise, the utilities are unlikely to be incurring entertainment expenses (such as golf tournaments) given the SOE limitation on gatherings of more than ten people</w:t>
      </w:r>
      <w:r w:rsidR="00C6003B">
        <w:rPr>
          <w:rFonts w:cs="Times New Roman"/>
          <w:szCs w:val="24"/>
        </w:rPr>
        <w:t xml:space="preserve">.  The Motion does not even contemplate exploring these other avenues of mitigating anticipated costs associated with </w:t>
      </w:r>
      <w:r w:rsidR="00B44DAA">
        <w:rPr>
          <w:rFonts w:cs="Times New Roman"/>
          <w:szCs w:val="24"/>
        </w:rPr>
        <w:t>COVID</w:t>
      </w:r>
      <w:r w:rsidR="00C6003B">
        <w:rPr>
          <w:rFonts w:cs="Times New Roman"/>
          <w:szCs w:val="24"/>
        </w:rPr>
        <w:t>-19.</w:t>
      </w:r>
    </w:p>
    <w:p w14:paraId="7987750E" w14:textId="13303CEA" w:rsidR="00F02E1D" w:rsidRDefault="00CF0C9A" w:rsidP="00053D24">
      <w:pPr>
        <w:autoSpaceDE w:val="0"/>
        <w:autoSpaceDN w:val="0"/>
        <w:adjustRightInd w:val="0"/>
        <w:spacing w:line="480" w:lineRule="auto"/>
        <w:jc w:val="both"/>
        <w:rPr>
          <w:rFonts w:cs="Times New Roman"/>
          <w:szCs w:val="24"/>
        </w:rPr>
      </w:pPr>
      <w:r>
        <w:rPr>
          <w:rFonts w:cs="Times New Roman"/>
          <w:szCs w:val="24"/>
        </w:rPr>
        <w:tab/>
        <w:t>1</w:t>
      </w:r>
      <w:r w:rsidR="00F60C3B">
        <w:rPr>
          <w:rFonts w:cs="Times New Roman"/>
          <w:szCs w:val="24"/>
        </w:rPr>
        <w:t>5</w:t>
      </w:r>
      <w:r>
        <w:rPr>
          <w:rFonts w:cs="Times New Roman"/>
          <w:szCs w:val="24"/>
        </w:rPr>
        <w:t>.</w:t>
      </w:r>
      <w:r>
        <w:rPr>
          <w:rFonts w:cs="Times New Roman"/>
          <w:szCs w:val="24"/>
        </w:rPr>
        <w:tab/>
        <w:t xml:space="preserve">The DPA respectfully submits that the Commission should reject Staff’s Motion.  </w:t>
      </w:r>
      <w:r w:rsidR="00CA3DA0">
        <w:rPr>
          <w:rFonts w:cs="Times New Roman"/>
          <w:szCs w:val="24"/>
        </w:rPr>
        <w:t xml:space="preserve">  </w:t>
      </w:r>
      <w:r w:rsidR="009816F9">
        <w:rPr>
          <w:rFonts w:cs="Times New Roman"/>
          <w:szCs w:val="24"/>
        </w:rPr>
        <w:t>T</w:t>
      </w:r>
      <w:r w:rsidR="00CA3DA0">
        <w:rPr>
          <w:rFonts w:cs="Times New Roman"/>
          <w:szCs w:val="24"/>
        </w:rPr>
        <w:t>he utilities have</w:t>
      </w:r>
      <w:r w:rsidR="00456A1A">
        <w:rPr>
          <w:rFonts w:cs="Times New Roman"/>
          <w:szCs w:val="24"/>
        </w:rPr>
        <w:t xml:space="preserve"> </w:t>
      </w:r>
      <w:r w:rsidR="009816F9">
        <w:rPr>
          <w:rFonts w:cs="Times New Roman"/>
          <w:szCs w:val="24"/>
        </w:rPr>
        <w:t>admitted that</w:t>
      </w:r>
      <w:r w:rsidR="00CA3DA0">
        <w:rPr>
          <w:rFonts w:cs="Times New Roman"/>
          <w:szCs w:val="24"/>
        </w:rPr>
        <w:t xml:space="preserve"> they don’t know </w:t>
      </w:r>
      <w:r w:rsidR="00F90D4E">
        <w:rPr>
          <w:rFonts w:cs="Times New Roman"/>
          <w:szCs w:val="24"/>
        </w:rPr>
        <w:t xml:space="preserve">what additional </w:t>
      </w:r>
      <w:r w:rsidR="00CA3DA0">
        <w:rPr>
          <w:rFonts w:cs="Times New Roman"/>
          <w:szCs w:val="24"/>
        </w:rPr>
        <w:t>costs</w:t>
      </w:r>
      <w:r w:rsidR="00F90D4E">
        <w:rPr>
          <w:rFonts w:cs="Times New Roman"/>
          <w:szCs w:val="24"/>
        </w:rPr>
        <w:t xml:space="preserve"> they may incur,</w:t>
      </w:r>
      <w:r w:rsidR="00CA3DA0">
        <w:rPr>
          <w:rFonts w:cs="Times New Roman"/>
          <w:szCs w:val="24"/>
        </w:rPr>
        <w:t xml:space="preserve"> </w:t>
      </w:r>
      <w:r w:rsidR="00B614D5">
        <w:rPr>
          <w:rFonts w:cs="Times New Roman"/>
          <w:szCs w:val="24"/>
        </w:rPr>
        <w:t>nor have</w:t>
      </w:r>
      <w:r w:rsidR="00BB736D">
        <w:rPr>
          <w:rFonts w:cs="Times New Roman"/>
          <w:szCs w:val="24"/>
        </w:rPr>
        <w:t xml:space="preserve"> they </w:t>
      </w:r>
      <w:r w:rsidR="00CA3DA0">
        <w:rPr>
          <w:rFonts w:cs="Times New Roman"/>
          <w:szCs w:val="24"/>
        </w:rPr>
        <w:t xml:space="preserve">even </w:t>
      </w:r>
      <w:r w:rsidR="00BB736D">
        <w:rPr>
          <w:rFonts w:cs="Times New Roman"/>
          <w:szCs w:val="24"/>
        </w:rPr>
        <w:t>hazard</w:t>
      </w:r>
      <w:r w:rsidR="00B614D5">
        <w:rPr>
          <w:rFonts w:cs="Times New Roman"/>
          <w:szCs w:val="24"/>
        </w:rPr>
        <w:t>ed</w:t>
      </w:r>
      <w:r w:rsidR="00BB736D">
        <w:rPr>
          <w:rFonts w:cs="Times New Roman"/>
          <w:szCs w:val="24"/>
        </w:rPr>
        <w:t xml:space="preserve"> a guess as to the amount of costs they may incur.</w:t>
      </w:r>
      <w:r w:rsidR="00F02E1D">
        <w:rPr>
          <w:rFonts w:cs="Times New Roman"/>
          <w:szCs w:val="24"/>
        </w:rPr>
        <w:t xml:space="preserve"> When the DPA asked pertinent questions, all but one of the utilities simply ignored the questions.  One utility has had </w:t>
      </w:r>
      <w:r w:rsidR="007B7A5E">
        <w:rPr>
          <w:rFonts w:cs="Times New Roman"/>
          <w:szCs w:val="24"/>
        </w:rPr>
        <w:t>nearly</w:t>
      </w:r>
      <w:r w:rsidR="00F02E1D">
        <w:rPr>
          <w:rFonts w:cs="Times New Roman"/>
          <w:szCs w:val="24"/>
        </w:rPr>
        <w:t xml:space="preserve"> a month to respond to questions from Staff and the DPA but </w:t>
      </w:r>
      <w:r w:rsidR="007922D3">
        <w:rPr>
          <w:rFonts w:cs="Times New Roman"/>
          <w:szCs w:val="24"/>
        </w:rPr>
        <w:t xml:space="preserve">has </w:t>
      </w:r>
      <w:r w:rsidR="00F02E1D">
        <w:rPr>
          <w:rFonts w:cs="Times New Roman"/>
          <w:szCs w:val="24"/>
        </w:rPr>
        <w:t>not proffered any response.</w:t>
      </w:r>
      <w:r w:rsidR="007B7A5E">
        <w:rPr>
          <w:rStyle w:val="FootnoteReference"/>
          <w:rFonts w:cs="Times New Roman"/>
          <w:szCs w:val="24"/>
        </w:rPr>
        <w:footnoteReference w:id="19"/>
      </w:r>
      <w:r w:rsidR="00F02E1D">
        <w:rPr>
          <w:rFonts w:cs="Times New Roman"/>
          <w:szCs w:val="24"/>
        </w:rPr>
        <w:t xml:space="preserve">  </w:t>
      </w:r>
    </w:p>
    <w:p w14:paraId="1E01B237" w14:textId="7641DDB9" w:rsidR="00F37D97" w:rsidRDefault="001422A0" w:rsidP="00E378E7">
      <w:pPr>
        <w:autoSpaceDE w:val="0"/>
        <w:autoSpaceDN w:val="0"/>
        <w:adjustRightInd w:val="0"/>
        <w:spacing w:line="480" w:lineRule="auto"/>
        <w:ind w:firstLine="720"/>
        <w:jc w:val="both"/>
        <w:rPr>
          <w:rFonts w:cs="Times New Roman"/>
          <w:szCs w:val="24"/>
        </w:rPr>
      </w:pPr>
      <w:r>
        <w:rPr>
          <w:rFonts w:cs="Times New Roman"/>
          <w:szCs w:val="24"/>
        </w:rPr>
        <w:t>1</w:t>
      </w:r>
      <w:r w:rsidR="004E799E">
        <w:rPr>
          <w:rFonts w:cs="Times New Roman"/>
          <w:szCs w:val="24"/>
        </w:rPr>
        <w:t>6</w:t>
      </w:r>
      <w:r>
        <w:rPr>
          <w:rFonts w:cs="Times New Roman"/>
          <w:szCs w:val="24"/>
        </w:rPr>
        <w:t>.</w:t>
      </w:r>
      <w:r>
        <w:rPr>
          <w:rFonts w:cs="Times New Roman"/>
          <w:szCs w:val="24"/>
        </w:rPr>
        <w:tab/>
      </w:r>
      <w:r w:rsidR="00F02E1D">
        <w:rPr>
          <w:rFonts w:cs="Times New Roman"/>
          <w:szCs w:val="24"/>
        </w:rPr>
        <w:t>These are unique circumstances</w:t>
      </w:r>
      <w:r>
        <w:rPr>
          <w:rFonts w:cs="Times New Roman"/>
          <w:szCs w:val="24"/>
        </w:rPr>
        <w:t>. B</w:t>
      </w:r>
      <w:r w:rsidR="00F02E1D">
        <w:rPr>
          <w:rFonts w:cs="Times New Roman"/>
          <w:szCs w:val="24"/>
        </w:rPr>
        <w:t xml:space="preserve">ut </w:t>
      </w:r>
      <w:r w:rsidR="00F90D4E">
        <w:rPr>
          <w:rFonts w:cs="Times New Roman"/>
          <w:szCs w:val="24"/>
        </w:rPr>
        <w:t>t</w:t>
      </w:r>
      <w:r w:rsidR="00CA3DA0">
        <w:rPr>
          <w:rFonts w:cs="Times New Roman"/>
          <w:szCs w:val="24"/>
        </w:rPr>
        <w:t xml:space="preserve">hat’s why the utilities receive </w:t>
      </w:r>
      <w:r w:rsidR="00F55DE1">
        <w:rPr>
          <w:rFonts w:cs="Times New Roman"/>
          <w:szCs w:val="24"/>
        </w:rPr>
        <w:t xml:space="preserve">a </w:t>
      </w:r>
      <w:r w:rsidR="00CA3DA0">
        <w:rPr>
          <w:rFonts w:cs="Times New Roman"/>
          <w:szCs w:val="24"/>
        </w:rPr>
        <w:t>much higher return on equity</w:t>
      </w:r>
      <w:r w:rsidR="00F55DE1">
        <w:rPr>
          <w:rFonts w:cs="Times New Roman"/>
          <w:szCs w:val="24"/>
        </w:rPr>
        <w:t xml:space="preserve"> – to account</w:t>
      </w:r>
      <w:r w:rsidR="00CA3DA0">
        <w:rPr>
          <w:rFonts w:cs="Times New Roman"/>
          <w:szCs w:val="24"/>
        </w:rPr>
        <w:t xml:space="preserve"> for potential risk.  </w:t>
      </w:r>
      <w:r w:rsidR="00063839">
        <w:rPr>
          <w:rFonts w:cs="Times New Roman"/>
          <w:szCs w:val="24"/>
        </w:rPr>
        <w:t xml:space="preserve">It is not a reason to provide for extraordinary treatment. </w:t>
      </w:r>
      <w:r w:rsidR="00CF0C9A">
        <w:rPr>
          <w:rFonts w:cs="Times New Roman"/>
          <w:szCs w:val="24"/>
        </w:rPr>
        <w:t xml:space="preserve"> </w:t>
      </w:r>
      <w:r w:rsidR="00B80721">
        <w:rPr>
          <w:rFonts w:cs="Times New Roman"/>
          <w:szCs w:val="24"/>
        </w:rPr>
        <w:t xml:space="preserve"> That </w:t>
      </w:r>
      <w:r w:rsidR="00A504B5">
        <w:rPr>
          <w:rFonts w:cs="Times New Roman"/>
          <w:szCs w:val="24"/>
        </w:rPr>
        <w:t xml:space="preserve">some </w:t>
      </w:r>
      <w:r w:rsidR="00B80721">
        <w:rPr>
          <w:rFonts w:cs="Times New Roman"/>
          <w:szCs w:val="24"/>
        </w:rPr>
        <w:t xml:space="preserve">other states are allowing utilities to record and defer costs that utilities claim are related to </w:t>
      </w:r>
      <w:r w:rsidR="00B44DAA">
        <w:rPr>
          <w:rFonts w:cs="Times New Roman"/>
          <w:szCs w:val="24"/>
        </w:rPr>
        <w:t>COVID</w:t>
      </w:r>
      <w:r w:rsidR="00B80721">
        <w:rPr>
          <w:rFonts w:cs="Times New Roman"/>
          <w:szCs w:val="24"/>
        </w:rPr>
        <w:t xml:space="preserve">-19 is </w:t>
      </w:r>
      <w:r w:rsidR="00C953D6">
        <w:rPr>
          <w:rFonts w:cs="Times New Roman"/>
          <w:szCs w:val="24"/>
        </w:rPr>
        <w:t xml:space="preserve">also </w:t>
      </w:r>
      <w:r w:rsidR="00B80721">
        <w:rPr>
          <w:rFonts w:cs="Times New Roman"/>
          <w:szCs w:val="24"/>
        </w:rPr>
        <w:t xml:space="preserve">not a valid reason for this Commission to do so. </w:t>
      </w:r>
      <w:r w:rsidR="00053D24" w:rsidRPr="00053D24">
        <w:rPr>
          <w:rFonts w:cs="Times New Roman"/>
          <w:szCs w:val="24"/>
        </w:rPr>
        <w:t xml:space="preserve"> </w:t>
      </w:r>
    </w:p>
    <w:p w14:paraId="6FFE7357" w14:textId="0AA15AC4" w:rsidR="00F37D97" w:rsidRPr="00A85B04" w:rsidRDefault="00F37D97" w:rsidP="00F37D97">
      <w:pPr>
        <w:autoSpaceDE w:val="0"/>
        <w:autoSpaceDN w:val="0"/>
        <w:adjustRightInd w:val="0"/>
        <w:spacing w:line="480" w:lineRule="auto"/>
        <w:jc w:val="both"/>
        <w:rPr>
          <w:rFonts w:cs="Times New Roman"/>
          <w:szCs w:val="24"/>
        </w:rPr>
      </w:pPr>
      <w:r>
        <w:rPr>
          <w:rFonts w:cs="Times New Roman"/>
          <w:szCs w:val="24"/>
        </w:rPr>
        <w:tab/>
        <w:t>1</w:t>
      </w:r>
      <w:r w:rsidR="00215827">
        <w:rPr>
          <w:rFonts w:cs="Times New Roman"/>
          <w:szCs w:val="24"/>
        </w:rPr>
        <w:t>7</w:t>
      </w:r>
      <w:r>
        <w:rPr>
          <w:rFonts w:cs="Times New Roman"/>
          <w:szCs w:val="24"/>
        </w:rPr>
        <w:t>.</w:t>
      </w:r>
      <w:r>
        <w:rPr>
          <w:rFonts w:cs="Times New Roman"/>
          <w:szCs w:val="24"/>
        </w:rPr>
        <w:tab/>
      </w:r>
      <w:r w:rsidR="007B6622">
        <w:rPr>
          <w:rFonts w:cs="Times New Roman"/>
          <w:szCs w:val="24"/>
        </w:rPr>
        <w:t xml:space="preserve">Many are suffering as a result of the </w:t>
      </w:r>
      <w:r w:rsidR="00B44DAA">
        <w:rPr>
          <w:rFonts w:cs="Times New Roman"/>
          <w:szCs w:val="24"/>
        </w:rPr>
        <w:t>COVID</w:t>
      </w:r>
      <w:r w:rsidR="007B6622">
        <w:rPr>
          <w:rFonts w:cs="Times New Roman"/>
          <w:szCs w:val="24"/>
        </w:rPr>
        <w:t xml:space="preserve">-19 crisis, but they have no guarantee that their job will still be there when it is over (or somewhat controlled), or that they will not be asked to take a pay cut.  </w:t>
      </w:r>
      <w:r w:rsidR="001F3D0B">
        <w:rPr>
          <w:rFonts w:cs="Times New Roman"/>
          <w:szCs w:val="24"/>
        </w:rPr>
        <w:t xml:space="preserve">Many businesses have been shuttered, and may not be permitted to reopen at normal capacity for some time.  </w:t>
      </w:r>
      <w:r>
        <w:rPr>
          <w:rFonts w:cs="Times New Roman"/>
          <w:szCs w:val="24"/>
        </w:rPr>
        <w:t xml:space="preserve">The notion of shared sacrifice should also extend to utilities who are insulated from the economic realities that far too many </w:t>
      </w:r>
      <w:r w:rsidR="00213847">
        <w:rPr>
          <w:rFonts w:cs="Times New Roman"/>
          <w:szCs w:val="24"/>
        </w:rPr>
        <w:t>residential</w:t>
      </w:r>
      <w:r w:rsidR="003155BD">
        <w:rPr>
          <w:rFonts w:cs="Times New Roman"/>
          <w:szCs w:val="24"/>
        </w:rPr>
        <w:t>,</w:t>
      </w:r>
      <w:r w:rsidR="00213847">
        <w:rPr>
          <w:rFonts w:cs="Times New Roman"/>
          <w:szCs w:val="24"/>
        </w:rPr>
        <w:t xml:space="preserve"> </w:t>
      </w:r>
      <w:r>
        <w:rPr>
          <w:rFonts w:cs="Times New Roman"/>
          <w:szCs w:val="24"/>
        </w:rPr>
        <w:t xml:space="preserve">small </w:t>
      </w:r>
      <w:r w:rsidR="00213847">
        <w:rPr>
          <w:rFonts w:cs="Times New Roman"/>
          <w:szCs w:val="24"/>
        </w:rPr>
        <w:t>commercial</w:t>
      </w:r>
      <w:r w:rsidR="00F02E1D">
        <w:rPr>
          <w:rFonts w:cs="Times New Roman"/>
          <w:szCs w:val="24"/>
        </w:rPr>
        <w:t>, and industrial</w:t>
      </w:r>
      <w:r w:rsidR="00213847">
        <w:rPr>
          <w:rFonts w:cs="Times New Roman"/>
          <w:szCs w:val="24"/>
        </w:rPr>
        <w:t xml:space="preserve"> customers </w:t>
      </w:r>
      <w:r>
        <w:rPr>
          <w:rFonts w:cs="Times New Roman"/>
          <w:szCs w:val="24"/>
        </w:rPr>
        <w:t>now face.  Th</w:t>
      </w:r>
      <w:r w:rsidR="00213847">
        <w:rPr>
          <w:rFonts w:cs="Times New Roman"/>
          <w:szCs w:val="24"/>
        </w:rPr>
        <w:t>ey are trying to cut costs wherever possible, and so too should the utilities.</w:t>
      </w:r>
      <w:r>
        <w:rPr>
          <w:rFonts w:cs="Times New Roman"/>
          <w:szCs w:val="24"/>
        </w:rPr>
        <w:t xml:space="preserve"> </w:t>
      </w:r>
      <w:r w:rsidR="001C0336">
        <w:rPr>
          <w:rFonts w:cs="Times New Roman"/>
          <w:szCs w:val="24"/>
        </w:rPr>
        <w:t>We are all in this together.</w:t>
      </w:r>
    </w:p>
    <w:p w14:paraId="3C091343" w14:textId="1F1F9A9E" w:rsidR="00CF0C9A" w:rsidRDefault="00464AF3" w:rsidP="00464AF3">
      <w:pPr>
        <w:autoSpaceDE w:val="0"/>
        <w:autoSpaceDN w:val="0"/>
        <w:adjustRightInd w:val="0"/>
        <w:spacing w:line="480" w:lineRule="auto"/>
        <w:ind w:firstLine="720"/>
        <w:jc w:val="both"/>
        <w:rPr>
          <w:rFonts w:cs="Times New Roman"/>
          <w:szCs w:val="24"/>
        </w:rPr>
      </w:pPr>
      <w:r>
        <w:rPr>
          <w:rFonts w:cs="Times New Roman"/>
          <w:szCs w:val="24"/>
        </w:rPr>
        <w:t>1</w:t>
      </w:r>
      <w:r w:rsidR="00952EE2">
        <w:rPr>
          <w:rFonts w:cs="Times New Roman"/>
          <w:szCs w:val="24"/>
        </w:rPr>
        <w:t>8</w:t>
      </w:r>
      <w:r>
        <w:rPr>
          <w:rFonts w:cs="Times New Roman"/>
          <w:szCs w:val="24"/>
        </w:rPr>
        <w:t>.</w:t>
      </w:r>
      <w:r>
        <w:rPr>
          <w:rFonts w:cs="Times New Roman"/>
          <w:szCs w:val="24"/>
        </w:rPr>
        <w:tab/>
      </w:r>
      <w:r w:rsidR="00053D24">
        <w:rPr>
          <w:rFonts w:cs="Times New Roman"/>
          <w:szCs w:val="24"/>
        </w:rPr>
        <w:t>I</w:t>
      </w:r>
      <w:r w:rsidR="00B80721">
        <w:rPr>
          <w:rFonts w:cs="Times New Roman"/>
          <w:szCs w:val="24"/>
        </w:rPr>
        <w:t>f the Commission is inclined</w:t>
      </w:r>
      <w:r>
        <w:rPr>
          <w:rFonts w:cs="Times New Roman"/>
          <w:szCs w:val="24"/>
        </w:rPr>
        <w:t xml:space="preserve"> to permit the utilities to defer </w:t>
      </w:r>
      <w:r w:rsidR="00B44DAA">
        <w:rPr>
          <w:rFonts w:cs="Times New Roman"/>
          <w:szCs w:val="24"/>
        </w:rPr>
        <w:t>COVID</w:t>
      </w:r>
      <w:r>
        <w:rPr>
          <w:rFonts w:cs="Times New Roman"/>
          <w:szCs w:val="24"/>
        </w:rPr>
        <w:t>-19 related costs,</w:t>
      </w:r>
      <w:r w:rsidR="00B80721">
        <w:rPr>
          <w:rFonts w:cs="Times New Roman"/>
          <w:szCs w:val="24"/>
        </w:rPr>
        <w:t xml:space="preserve"> </w:t>
      </w:r>
      <w:r w:rsidR="003A0D51">
        <w:rPr>
          <w:rFonts w:cs="Times New Roman"/>
          <w:szCs w:val="24"/>
        </w:rPr>
        <w:t>its order</w:t>
      </w:r>
      <w:r w:rsidR="00B80721">
        <w:rPr>
          <w:rFonts w:cs="Times New Roman"/>
          <w:szCs w:val="24"/>
        </w:rPr>
        <w:t xml:space="preserve"> should </w:t>
      </w:r>
      <w:r w:rsidR="00E61C8A">
        <w:rPr>
          <w:rFonts w:cs="Times New Roman"/>
          <w:szCs w:val="24"/>
        </w:rPr>
        <w:t xml:space="preserve">be carefully circumscribed to allow </w:t>
      </w:r>
      <w:r w:rsidR="00404131">
        <w:rPr>
          <w:rFonts w:cs="Times New Roman"/>
          <w:szCs w:val="24"/>
        </w:rPr>
        <w:t xml:space="preserve">deferral of </w:t>
      </w:r>
      <w:r w:rsidR="00E61C8A">
        <w:rPr>
          <w:rFonts w:cs="Times New Roman"/>
          <w:szCs w:val="24"/>
        </w:rPr>
        <w:t xml:space="preserve">only those costs specifically identified in the Sixth SOE Modification, rather than granting the blank check that Staff’s Motion appears to envision.  If the Commission does not want to limit the types of costs that can potentially be deferred, the Commission at the very least should impose </w:t>
      </w:r>
      <w:r w:rsidR="00B80721">
        <w:rPr>
          <w:rFonts w:cs="Times New Roman"/>
          <w:szCs w:val="24"/>
        </w:rPr>
        <w:t xml:space="preserve">specific guardrails </w:t>
      </w:r>
      <w:r w:rsidR="007D0B0C">
        <w:rPr>
          <w:rFonts w:cs="Times New Roman"/>
          <w:szCs w:val="24"/>
        </w:rPr>
        <w:t xml:space="preserve">as discussed in this response, </w:t>
      </w:r>
      <w:r w:rsidR="00B80721">
        <w:rPr>
          <w:rFonts w:cs="Times New Roman"/>
          <w:szCs w:val="24"/>
        </w:rPr>
        <w:t xml:space="preserve">and </w:t>
      </w:r>
      <w:r w:rsidR="00C65E28">
        <w:rPr>
          <w:rFonts w:cs="Times New Roman"/>
          <w:szCs w:val="24"/>
        </w:rPr>
        <w:t xml:space="preserve">should require </w:t>
      </w:r>
      <w:r w:rsidR="00B80721">
        <w:rPr>
          <w:rFonts w:cs="Times New Roman"/>
          <w:szCs w:val="24"/>
        </w:rPr>
        <w:t xml:space="preserve">utilities to </w:t>
      </w:r>
      <w:r w:rsidR="00F02E1D">
        <w:rPr>
          <w:rFonts w:cs="Times New Roman"/>
          <w:szCs w:val="24"/>
        </w:rPr>
        <w:t>reduce</w:t>
      </w:r>
      <w:r w:rsidR="00661296">
        <w:rPr>
          <w:rFonts w:cs="Times New Roman"/>
          <w:szCs w:val="24"/>
        </w:rPr>
        <w:t xml:space="preserve"> discretionary costs unrelated to the provision of safe and reliable utility service.</w:t>
      </w:r>
      <w:r w:rsidR="00661296" w:rsidDel="00661296">
        <w:rPr>
          <w:rFonts w:cs="Times New Roman"/>
          <w:szCs w:val="24"/>
        </w:rPr>
        <w:t xml:space="preserve"> </w:t>
      </w:r>
      <w:r w:rsidR="00E61C8A">
        <w:rPr>
          <w:rFonts w:cs="Times New Roman"/>
          <w:szCs w:val="24"/>
        </w:rPr>
        <w:t xml:space="preserve">  </w:t>
      </w:r>
    </w:p>
    <w:p w14:paraId="1A7B7113" w14:textId="0CAD98EF" w:rsidR="00D66754" w:rsidRDefault="00D66754" w:rsidP="00464AF3">
      <w:pPr>
        <w:autoSpaceDE w:val="0"/>
        <w:autoSpaceDN w:val="0"/>
        <w:adjustRightInd w:val="0"/>
        <w:spacing w:line="480" w:lineRule="auto"/>
        <w:ind w:firstLine="720"/>
        <w:jc w:val="both"/>
        <w:rPr>
          <w:rFonts w:cs="Times New Roman"/>
          <w:szCs w:val="24"/>
        </w:rPr>
      </w:pPr>
    </w:p>
    <w:p w14:paraId="7AD0B0AF" w14:textId="77777777" w:rsidR="00D66754" w:rsidRDefault="00D66754" w:rsidP="00464AF3">
      <w:pPr>
        <w:autoSpaceDE w:val="0"/>
        <w:autoSpaceDN w:val="0"/>
        <w:adjustRightInd w:val="0"/>
        <w:spacing w:line="480" w:lineRule="auto"/>
        <w:ind w:firstLine="720"/>
        <w:jc w:val="both"/>
        <w:rPr>
          <w:rFonts w:cs="Times New Roman"/>
          <w:szCs w:val="24"/>
        </w:rPr>
      </w:pPr>
    </w:p>
    <w:p w14:paraId="26EFC4D8" w14:textId="2DFB2270" w:rsidR="00FD5809" w:rsidRDefault="00FD5809" w:rsidP="009A7444">
      <w:pPr>
        <w:autoSpaceDE w:val="0"/>
        <w:autoSpaceDN w:val="0"/>
        <w:adjustRightInd w:val="0"/>
        <w:spacing w:line="480" w:lineRule="auto"/>
        <w:ind w:left="3600" w:firstLine="720"/>
        <w:jc w:val="both"/>
        <w:rPr>
          <w:rFonts w:cs="Times New Roman"/>
          <w:szCs w:val="24"/>
        </w:rPr>
      </w:pPr>
      <w:r>
        <w:rPr>
          <w:rFonts w:cs="Times New Roman"/>
          <w:szCs w:val="24"/>
        </w:rPr>
        <w:t>Respectfully submitted,</w:t>
      </w:r>
    </w:p>
    <w:p w14:paraId="19C1C3CB" w14:textId="11CA5F9F"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 xml:space="preserve">/s/ </w:t>
      </w:r>
      <w:r>
        <w:rPr>
          <w:rFonts w:cs="Times New Roman"/>
          <w:i/>
          <w:iCs/>
          <w:szCs w:val="24"/>
          <w:u w:val="single"/>
        </w:rPr>
        <w:t>Regina A. Iorii</w:t>
      </w:r>
      <w:r>
        <w:rPr>
          <w:rFonts w:cs="Times New Roman"/>
          <w:i/>
          <w:iCs/>
          <w:szCs w:val="24"/>
          <w:u w:val="single"/>
        </w:rPr>
        <w:tab/>
      </w:r>
      <w:r>
        <w:rPr>
          <w:rFonts w:cs="Times New Roman"/>
          <w:i/>
          <w:iCs/>
          <w:szCs w:val="24"/>
          <w:u w:val="single"/>
        </w:rPr>
        <w:tab/>
      </w:r>
      <w:r>
        <w:rPr>
          <w:rFonts w:cs="Times New Roman"/>
          <w:i/>
          <w:iCs/>
          <w:szCs w:val="24"/>
          <w:u w:val="single"/>
        </w:rPr>
        <w:tab/>
      </w:r>
    </w:p>
    <w:p w14:paraId="1BC2FF9A" w14:textId="3F87740E"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Regina A. Iorii (De. Bar No. 2600)</w:t>
      </w:r>
    </w:p>
    <w:p w14:paraId="4A7C25FC" w14:textId="4318D4A2"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Deputy Attorney General</w:t>
      </w:r>
    </w:p>
    <w:p w14:paraId="1BA94B46" w14:textId="1C491164"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Delaware Department of Justice</w:t>
      </w:r>
    </w:p>
    <w:p w14:paraId="3A2CFD8C" w14:textId="10B3360B"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820 N. French Street, 4</w:t>
      </w:r>
      <w:r w:rsidRPr="00FD5809">
        <w:rPr>
          <w:rFonts w:cs="Times New Roman"/>
          <w:szCs w:val="24"/>
          <w:vertAlign w:val="superscript"/>
        </w:rPr>
        <w:t>th</w:t>
      </w:r>
      <w:r>
        <w:rPr>
          <w:rFonts w:cs="Times New Roman"/>
          <w:szCs w:val="24"/>
        </w:rPr>
        <w:t xml:space="preserve"> Floor</w:t>
      </w:r>
    </w:p>
    <w:p w14:paraId="462CF633" w14:textId="238E874B"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Wilmington, DE  19801</w:t>
      </w:r>
    </w:p>
    <w:p w14:paraId="2DE90085" w14:textId="32B00BB8"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(302) 577-8159</w:t>
      </w:r>
    </w:p>
    <w:p w14:paraId="26BE6564" w14:textId="43B1B204" w:rsidR="00FD5809" w:rsidRDefault="00FD5809" w:rsidP="00FD5809">
      <w:pPr>
        <w:autoSpaceDE w:val="0"/>
        <w:autoSpaceDN w:val="0"/>
        <w:adjustRightInd w:val="0"/>
        <w:ind w:firstLine="72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hyperlink r:id="rId9" w:history="1">
        <w:r w:rsidR="00B42F46" w:rsidRPr="00B21EF6">
          <w:rPr>
            <w:rStyle w:val="Hyperlink"/>
            <w:rFonts w:cs="Times New Roman"/>
            <w:szCs w:val="24"/>
          </w:rPr>
          <w:t>regina.iorii@delaware.gov</w:t>
        </w:r>
      </w:hyperlink>
    </w:p>
    <w:p w14:paraId="1878070B" w14:textId="2F3C2F51" w:rsidR="00FD5809" w:rsidRDefault="00FD5809" w:rsidP="00FD5809">
      <w:pPr>
        <w:autoSpaceDE w:val="0"/>
        <w:autoSpaceDN w:val="0"/>
        <w:adjustRightInd w:val="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Counsel for the Delaware Division</w:t>
      </w:r>
    </w:p>
    <w:p w14:paraId="32EFFC1C" w14:textId="45D57099" w:rsidR="00FD5809" w:rsidRDefault="00FD5809" w:rsidP="00FD5809">
      <w:pPr>
        <w:autoSpaceDE w:val="0"/>
        <w:autoSpaceDN w:val="0"/>
        <w:adjustRightInd w:val="0"/>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of the Public Advocate</w:t>
      </w:r>
    </w:p>
    <w:p w14:paraId="284D7BFE" w14:textId="3F9A9405" w:rsidR="00FD5809" w:rsidRDefault="00FD5809" w:rsidP="00FD5809">
      <w:pPr>
        <w:autoSpaceDE w:val="0"/>
        <w:autoSpaceDN w:val="0"/>
        <w:adjustRightInd w:val="0"/>
        <w:jc w:val="both"/>
        <w:rPr>
          <w:rFonts w:cs="Times New Roman"/>
          <w:szCs w:val="24"/>
        </w:rPr>
      </w:pPr>
    </w:p>
    <w:p w14:paraId="282D4801" w14:textId="2C7F539D" w:rsidR="00FD5809" w:rsidRPr="00FD5809" w:rsidRDefault="00FD5809" w:rsidP="00FD5809">
      <w:pPr>
        <w:autoSpaceDE w:val="0"/>
        <w:autoSpaceDN w:val="0"/>
        <w:adjustRightInd w:val="0"/>
        <w:jc w:val="both"/>
        <w:rPr>
          <w:rFonts w:cs="Times New Roman"/>
          <w:szCs w:val="24"/>
        </w:rPr>
      </w:pPr>
      <w:r>
        <w:rPr>
          <w:rFonts w:cs="Times New Roman"/>
          <w:szCs w:val="24"/>
        </w:rPr>
        <w:t xml:space="preserve">Dated: May </w:t>
      </w:r>
      <w:r w:rsidR="00F552F7">
        <w:rPr>
          <w:rFonts w:cs="Times New Roman"/>
          <w:szCs w:val="24"/>
        </w:rPr>
        <w:t>5</w:t>
      </w:r>
      <w:r>
        <w:rPr>
          <w:rFonts w:cs="Times New Roman"/>
          <w:szCs w:val="24"/>
        </w:rPr>
        <w:t>, 2020</w:t>
      </w:r>
    </w:p>
    <w:sectPr w:rsidR="00FD5809" w:rsidRPr="00FD5809" w:rsidSect="00FD580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366E" w14:textId="77777777" w:rsidR="00E80FA9" w:rsidRDefault="00E80FA9" w:rsidP="009828AD">
      <w:r>
        <w:separator/>
      </w:r>
    </w:p>
  </w:endnote>
  <w:endnote w:type="continuationSeparator" w:id="0">
    <w:p w14:paraId="033D9B3C" w14:textId="77777777" w:rsidR="00E80FA9" w:rsidRDefault="00E80FA9" w:rsidP="0098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73577"/>
      <w:docPartObj>
        <w:docPartGallery w:val="Page Numbers (Bottom of Page)"/>
        <w:docPartUnique/>
      </w:docPartObj>
    </w:sdtPr>
    <w:sdtEndPr>
      <w:rPr>
        <w:noProof/>
      </w:rPr>
    </w:sdtEndPr>
    <w:sdtContent>
      <w:p w14:paraId="67A83480" w14:textId="14B213A9" w:rsidR="00FD5809" w:rsidRDefault="00FD5809">
        <w:pPr>
          <w:pStyle w:val="Footer"/>
          <w:jc w:val="center"/>
        </w:pPr>
        <w:r>
          <w:fldChar w:fldCharType="begin"/>
        </w:r>
        <w:r>
          <w:instrText xml:space="preserve"> PAGE   \* MERGEFORMAT </w:instrText>
        </w:r>
        <w:r>
          <w:fldChar w:fldCharType="separate"/>
        </w:r>
        <w:r w:rsidR="00EE0333">
          <w:rPr>
            <w:noProof/>
          </w:rPr>
          <w:t>8</w:t>
        </w:r>
        <w:r>
          <w:rPr>
            <w:noProof/>
          </w:rPr>
          <w:fldChar w:fldCharType="end"/>
        </w:r>
      </w:p>
    </w:sdtContent>
  </w:sdt>
  <w:p w14:paraId="45A55A4E" w14:textId="77777777" w:rsidR="00FD5809" w:rsidRDefault="00FD58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D47ED" w14:textId="77777777" w:rsidR="00E80FA9" w:rsidRDefault="00E80FA9" w:rsidP="009828AD">
      <w:r>
        <w:separator/>
      </w:r>
    </w:p>
  </w:footnote>
  <w:footnote w:type="continuationSeparator" w:id="0">
    <w:p w14:paraId="44B398AE" w14:textId="77777777" w:rsidR="00E80FA9" w:rsidRDefault="00E80FA9" w:rsidP="009828AD">
      <w:r>
        <w:continuationSeparator/>
      </w:r>
    </w:p>
  </w:footnote>
  <w:footnote w:id="1">
    <w:p w14:paraId="5C8C9F76" w14:textId="5477E2C5" w:rsidR="00252D96" w:rsidRPr="00F548BA" w:rsidRDefault="00252D96">
      <w:pPr>
        <w:pStyle w:val="FootnoteText"/>
        <w:rPr>
          <w:sz w:val="22"/>
          <w:szCs w:val="22"/>
        </w:rPr>
      </w:pPr>
      <w:r w:rsidRPr="00F548BA">
        <w:rPr>
          <w:rStyle w:val="FootnoteReference"/>
          <w:sz w:val="22"/>
          <w:szCs w:val="22"/>
        </w:rPr>
        <w:footnoteRef/>
      </w:r>
      <w:r w:rsidRPr="00F548BA">
        <w:rPr>
          <w:sz w:val="22"/>
          <w:szCs w:val="22"/>
        </w:rPr>
        <w:t xml:space="preserve"> Motion at </w:t>
      </w:r>
      <w:r w:rsidR="00B8783A" w:rsidRPr="00F548BA">
        <w:rPr>
          <w:sz w:val="22"/>
          <w:szCs w:val="22"/>
        </w:rPr>
        <w:t>¶¶2-3.</w:t>
      </w:r>
      <w:r w:rsidR="0083434E" w:rsidRPr="00F548BA">
        <w:rPr>
          <w:sz w:val="22"/>
          <w:szCs w:val="22"/>
        </w:rPr>
        <w:t xml:space="preserve"> Staff’s Motion states an incorrect date of March 16, 2020.</w:t>
      </w:r>
    </w:p>
  </w:footnote>
  <w:footnote w:id="2">
    <w:p w14:paraId="1011CFD6" w14:textId="54DE0C17" w:rsidR="0052530F" w:rsidRPr="00F548BA" w:rsidRDefault="0052530F">
      <w:pPr>
        <w:pStyle w:val="FootnoteText"/>
        <w:rPr>
          <w:sz w:val="22"/>
          <w:szCs w:val="22"/>
        </w:rPr>
      </w:pPr>
      <w:r w:rsidRPr="00F548BA">
        <w:rPr>
          <w:rStyle w:val="FootnoteReference"/>
          <w:sz w:val="22"/>
          <w:szCs w:val="22"/>
        </w:rPr>
        <w:footnoteRef/>
      </w:r>
      <w:r w:rsidRPr="00F548BA">
        <w:rPr>
          <w:sz w:val="22"/>
          <w:szCs w:val="22"/>
        </w:rPr>
        <w:t xml:space="preserve"> </w:t>
      </w:r>
      <w:r w:rsidRPr="00F548BA">
        <w:rPr>
          <w:i/>
          <w:iCs/>
          <w:sz w:val="22"/>
          <w:szCs w:val="22"/>
        </w:rPr>
        <w:t>Id.</w:t>
      </w:r>
      <w:r w:rsidRPr="00F548BA">
        <w:rPr>
          <w:sz w:val="22"/>
          <w:szCs w:val="22"/>
        </w:rPr>
        <w:t xml:space="preserve"> (emphasis added)</w:t>
      </w:r>
    </w:p>
  </w:footnote>
  <w:footnote w:id="3">
    <w:p w14:paraId="3C9F44E7" w14:textId="77777777" w:rsidR="00C90612" w:rsidRPr="00F548BA" w:rsidRDefault="00C90612" w:rsidP="00C90612">
      <w:pPr>
        <w:pStyle w:val="FootnoteText"/>
        <w:rPr>
          <w:sz w:val="22"/>
          <w:szCs w:val="22"/>
        </w:rPr>
      </w:pPr>
      <w:r w:rsidRPr="00F548BA">
        <w:rPr>
          <w:rStyle w:val="FootnoteReference"/>
          <w:sz w:val="22"/>
          <w:szCs w:val="22"/>
        </w:rPr>
        <w:footnoteRef/>
      </w:r>
      <w:r w:rsidRPr="00F548BA">
        <w:rPr>
          <w:sz w:val="22"/>
          <w:szCs w:val="22"/>
        </w:rPr>
        <w:t xml:space="preserve"> Attachment A.</w:t>
      </w:r>
    </w:p>
  </w:footnote>
  <w:footnote w:id="4">
    <w:p w14:paraId="452329CF" w14:textId="77777777" w:rsidR="00C90612" w:rsidRPr="00F548BA" w:rsidRDefault="00C90612" w:rsidP="00C90612">
      <w:pPr>
        <w:pStyle w:val="FootnoteText"/>
        <w:rPr>
          <w:sz w:val="22"/>
          <w:szCs w:val="22"/>
        </w:rPr>
      </w:pPr>
      <w:r w:rsidRPr="00F548BA">
        <w:rPr>
          <w:rStyle w:val="FootnoteReference"/>
          <w:sz w:val="22"/>
          <w:szCs w:val="22"/>
        </w:rPr>
        <w:footnoteRef/>
      </w:r>
      <w:r w:rsidRPr="00F548BA">
        <w:rPr>
          <w:sz w:val="22"/>
          <w:szCs w:val="22"/>
        </w:rPr>
        <w:t xml:space="preserve"> Attachment B.</w:t>
      </w:r>
    </w:p>
  </w:footnote>
  <w:footnote w:id="5">
    <w:p w14:paraId="7107C682" w14:textId="77777777" w:rsidR="00C90612" w:rsidRPr="00F548BA" w:rsidRDefault="00C90612">
      <w:pPr>
        <w:pStyle w:val="FootnoteText"/>
        <w:rPr>
          <w:sz w:val="22"/>
          <w:szCs w:val="22"/>
        </w:rPr>
      </w:pPr>
      <w:r w:rsidRPr="00F548BA">
        <w:rPr>
          <w:rStyle w:val="FootnoteReference"/>
          <w:sz w:val="22"/>
          <w:szCs w:val="22"/>
        </w:rPr>
        <w:footnoteRef/>
      </w:r>
      <w:r w:rsidRPr="00F548BA">
        <w:rPr>
          <w:sz w:val="22"/>
          <w:szCs w:val="22"/>
        </w:rPr>
        <w:t xml:space="preserve"> Attachment C.</w:t>
      </w:r>
    </w:p>
  </w:footnote>
  <w:footnote w:id="6">
    <w:p w14:paraId="52576109" w14:textId="77777777" w:rsidR="00C90612" w:rsidRPr="00F548BA" w:rsidRDefault="00C90612" w:rsidP="00C90612">
      <w:pPr>
        <w:pStyle w:val="FootnoteText"/>
        <w:rPr>
          <w:sz w:val="22"/>
          <w:szCs w:val="22"/>
        </w:rPr>
      </w:pPr>
      <w:r w:rsidRPr="00F548BA">
        <w:rPr>
          <w:rStyle w:val="FootnoteReference"/>
          <w:sz w:val="22"/>
          <w:szCs w:val="22"/>
        </w:rPr>
        <w:footnoteRef/>
      </w:r>
      <w:r w:rsidRPr="00F548BA">
        <w:rPr>
          <w:sz w:val="22"/>
          <w:szCs w:val="22"/>
        </w:rPr>
        <w:t xml:space="preserve"> Attachment D.</w:t>
      </w:r>
    </w:p>
  </w:footnote>
  <w:footnote w:id="7">
    <w:p w14:paraId="7D328130" w14:textId="0BB65E45" w:rsidR="00712608" w:rsidRPr="00D66754" w:rsidRDefault="00B2786B">
      <w:pPr>
        <w:pStyle w:val="FootnoteText"/>
        <w:rPr>
          <w:sz w:val="22"/>
          <w:szCs w:val="22"/>
        </w:rPr>
      </w:pPr>
      <w:r w:rsidRPr="00D66754">
        <w:rPr>
          <w:rStyle w:val="FootnoteReference"/>
          <w:sz w:val="22"/>
          <w:szCs w:val="22"/>
        </w:rPr>
        <w:footnoteRef/>
      </w:r>
      <w:r w:rsidR="00712608" w:rsidRPr="00D66754">
        <w:rPr>
          <w:sz w:val="22"/>
          <w:szCs w:val="22"/>
        </w:rPr>
        <w:t xml:space="preserve"> </w:t>
      </w:r>
      <w:r w:rsidRPr="00D66754">
        <w:rPr>
          <w:i/>
          <w:iCs/>
          <w:sz w:val="22"/>
          <w:szCs w:val="22"/>
        </w:rPr>
        <w:t>In the Matter of the Application of Delmarva Power &amp; Light Company</w:t>
      </w:r>
      <w:r w:rsidR="00320CC0" w:rsidRPr="00D66754">
        <w:rPr>
          <w:i/>
          <w:iCs/>
          <w:sz w:val="22"/>
          <w:szCs w:val="22"/>
        </w:rPr>
        <w:t xml:space="preserve"> for an Increase in Electric Base Rates and Miscellaneous Tariff Changes </w:t>
      </w:r>
      <w:r w:rsidR="00320CC0" w:rsidRPr="00D66754">
        <w:rPr>
          <w:sz w:val="22"/>
          <w:szCs w:val="22"/>
        </w:rPr>
        <w:t xml:space="preserve">and </w:t>
      </w:r>
      <w:r w:rsidR="00320CC0" w:rsidRPr="00D66754">
        <w:rPr>
          <w:i/>
          <w:iCs/>
          <w:sz w:val="22"/>
          <w:szCs w:val="22"/>
        </w:rPr>
        <w:t xml:space="preserve">In the Application of Delmarva Power &amp; Light Company for Approval of a Modified Fixed Variable </w:t>
      </w:r>
      <w:r w:rsidR="00906FE1" w:rsidRPr="00D66754">
        <w:rPr>
          <w:i/>
          <w:iCs/>
          <w:sz w:val="22"/>
          <w:szCs w:val="22"/>
        </w:rPr>
        <w:t>Rate Design for Electric Rates</w:t>
      </w:r>
      <w:r w:rsidR="00906FE1" w:rsidRPr="00D66754">
        <w:rPr>
          <w:sz w:val="22"/>
          <w:szCs w:val="22"/>
        </w:rPr>
        <w:t>,</w:t>
      </w:r>
      <w:r w:rsidR="00F9238A" w:rsidRPr="00D66754">
        <w:rPr>
          <w:sz w:val="22"/>
          <w:szCs w:val="22"/>
        </w:rPr>
        <w:t xml:space="preserve"> </w:t>
      </w:r>
      <w:r w:rsidR="00712608" w:rsidRPr="00D66754">
        <w:rPr>
          <w:sz w:val="22"/>
          <w:szCs w:val="22"/>
        </w:rPr>
        <w:t>Docket No. 09-414 and 0</w:t>
      </w:r>
      <w:r w:rsidR="00906FE1" w:rsidRPr="00D66754">
        <w:rPr>
          <w:sz w:val="22"/>
          <w:szCs w:val="22"/>
        </w:rPr>
        <w:t>9</w:t>
      </w:r>
      <w:r w:rsidR="00712608" w:rsidRPr="00D66754">
        <w:rPr>
          <w:sz w:val="22"/>
          <w:szCs w:val="22"/>
        </w:rPr>
        <w:t>-</w:t>
      </w:r>
      <w:r w:rsidR="00906FE1" w:rsidRPr="00D66754">
        <w:rPr>
          <w:sz w:val="22"/>
          <w:szCs w:val="22"/>
        </w:rPr>
        <w:t>276</w:t>
      </w:r>
      <w:r w:rsidRPr="00D66754">
        <w:rPr>
          <w:sz w:val="22"/>
          <w:szCs w:val="22"/>
        </w:rPr>
        <w:t xml:space="preserve">T, </w:t>
      </w:r>
      <w:r w:rsidR="006106BD" w:rsidRPr="00D66754">
        <w:rPr>
          <w:sz w:val="22"/>
          <w:szCs w:val="22"/>
        </w:rPr>
        <w:t>Order No.</w:t>
      </w:r>
      <w:r w:rsidR="00906FE1" w:rsidRPr="00D66754">
        <w:rPr>
          <w:sz w:val="22"/>
          <w:szCs w:val="22"/>
        </w:rPr>
        <w:t>8011</w:t>
      </w:r>
      <w:r w:rsidR="007A11EF" w:rsidRPr="00D66754">
        <w:rPr>
          <w:sz w:val="22"/>
          <w:szCs w:val="22"/>
        </w:rPr>
        <w:t xml:space="preserve">, ¶157 (Del. PSC Aug. </w:t>
      </w:r>
      <w:r w:rsidR="00676877" w:rsidRPr="00D66754">
        <w:rPr>
          <w:sz w:val="22"/>
          <w:szCs w:val="22"/>
        </w:rPr>
        <w:t>9</w:t>
      </w:r>
      <w:r w:rsidR="007A11EF" w:rsidRPr="00D66754">
        <w:rPr>
          <w:sz w:val="22"/>
          <w:szCs w:val="22"/>
        </w:rPr>
        <w:t>, 2011)</w:t>
      </w:r>
    </w:p>
  </w:footnote>
  <w:footnote w:id="8">
    <w:p w14:paraId="1593165C" w14:textId="77777777" w:rsidR="00110D01" w:rsidRPr="00D66754" w:rsidRDefault="00110D01">
      <w:pPr>
        <w:pStyle w:val="FootnoteText"/>
        <w:rPr>
          <w:i/>
          <w:iCs/>
          <w:sz w:val="22"/>
          <w:szCs w:val="22"/>
        </w:rPr>
      </w:pPr>
      <w:r w:rsidRPr="00D66754">
        <w:rPr>
          <w:rStyle w:val="FootnoteReference"/>
          <w:sz w:val="22"/>
          <w:szCs w:val="22"/>
        </w:rPr>
        <w:footnoteRef/>
      </w:r>
      <w:r w:rsidRPr="00D66754">
        <w:rPr>
          <w:sz w:val="22"/>
          <w:szCs w:val="22"/>
        </w:rPr>
        <w:t xml:space="preserve"> </w:t>
      </w:r>
      <w:r w:rsidRPr="00D66754">
        <w:rPr>
          <w:i/>
          <w:iCs/>
          <w:sz w:val="22"/>
          <w:szCs w:val="22"/>
        </w:rPr>
        <w:t>Id.</w:t>
      </w:r>
    </w:p>
  </w:footnote>
  <w:footnote w:id="9">
    <w:p w14:paraId="4670E026" w14:textId="16FCE606" w:rsidR="00834AC2" w:rsidRPr="00D66754" w:rsidRDefault="00834AC2">
      <w:pPr>
        <w:pStyle w:val="FootnoteText"/>
        <w:rPr>
          <w:sz w:val="22"/>
          <w:szCs w:val="22"/>
        </w:rPr>
      </w:pPr>
      <w:r w:rsidRPr="00D66754">
        <w:rPr>
          <w:rStyle w:val="FootnoteReference"/>
          <w:sz w:val="22"/>
          <w:szCs w:val="22"/>
        </w:rPr>
        <w:footnoteRef/>
      </w:r>
      <w:r w:rsidRPr="00D66754">
        <w:rPr>
          <w:sz w:val="22"/>
          <w:szCs w:val="22"/>
        </w:rPr>
        <w:t xml:space="preserve"> Attachment E.</w:t>
      </w:r>
    </w:p>
  </w:footnote>
  <w:footnote w:id="10">
    <w:p w14:paraId="6DC06035" w14:textId="76F923DD" w:rsidR="004D1DAE" w:rsidRPr="00D66754" w:rsidRDefault="004D1DAE">
      <w:pPr>
        <w:pStyle w:val="FootnoteText"/>
        <w:rPr>
          <w:sz w:val="22"/>
          <w:szCs w:val="22"/>
        </w:rPr>
      </w:pPr>
      <w:r w:rsidRPr="00D66754">
        <w:rPr>
          <w:rStyle w:val="FootnoteReference"/>
          <w:sz w:val="22"/>
          <w:szCs w:val="22"/>
        </w:rPr>
        <w:footnoteRef/>
      </w:r>
      <w:r w:rsidRPr="00D66754">
        <w:rPr>
          <w:sz w:val="22"/>
          <w:szCs w:val="22"/>
        </w:rPr>
        <w:t xml:space="preserve"> </w:t>
      </w:r>
      <w:r w:rsidR="00117771" w:rsidRPr="00D66754">
        <w:rPr>
          <w:sz w:val="22"/>
          <w:szCs w:val="22"/>
        </w:rPr>
        <w:t>https://www.delmarva.com/News/Pages/DelmarvaPowerExtendingCustomerSupportPracticestoEnsureAllResidentsHaveSafeandReliableEnergyServiceDuringTh.aspx?sf231832390=1&amp;fbclid=IwAR1MahiaV6P1HQsK9DFfMF_y-QTh6qgwbE4ijpSrGQoCDkpykA8GV1ernQM</w:t>
      </w:r>
      <w:r w:rsidRPr="00D66754">
        <w:rPr>
          <w:sz w:val="22"/>
          <w:szCs w:val="22"/>
        </w:rPr>
        <w:t>.</w:t>
      </w:r>
    </w:p>
  </w:footnote>
  <w:footnote w:id="11">
    <w:p w14:paraId="3A434112" w14:textId="77777777" w:rsidR="00322B04" w:rsidRPr="00D66754" w:rsidRDefault="00322B04" w:rsidP="00322B04">
      <w:pPr>
        <w:pStyle w:val="FootnoteText"/>
        <w:rPr>
          <w:sz w:val="22"/>
          <w:szCs w:val="22"/>
        </w:rPr>
      </w:pPr>
      <w:r w:rsidRPr="00D66754">
        <w:rPr>
          <w:rStyle w:val="FootnoteReference"/>
          <w:sz w:val="22"/>
          <w:szCs w:val="22"/>
        </w:rPr>
        <w:footnoteRef/>
      </w:r>
      <w:r w:rsidRPr="00D66754">
        <w:rPr>
          <w:sz w:val="22"/>
          <w:szCs w:val="22"/>
        </w:rPr>
        <w:t xml:space="preserve"> Motion at ¶¶2-3.</w:t>
      </w:r>
    </w:p>
  </w:footnote>
  <w:footnote w:id="12">
    <w:p w14:paraId="34C4B265" w14:textId="77777777" w:rsidR="0078667A" w:rsidRPr="00D66754" w:rsidRDefault="0078667A">
      <w:pPr>
        <w:pStyle w:val="FootnoteText"/>
        <w:rPr>
          <w:sz w:val="22"/>
          <w:szCs w:val="22"/>
        </w:rPr>
      </w:pPr>
      <w:r w:rsidRPr="00D66754">
        <w:rPr>
          <w:rStyle w:val="FootnoteReference"/>
          <w:sz w:val="22"/>
          <w:szCs w:val="22"/>
        </w:rPr>
        <w:footnoteRef/>
      </w:r>
      <w:r w:rsidRPr="00D66754">
        <w:rPr>
          <w:sz w:val="22"/>
          <w:szCs w:val="22"/>
        </w:rPr>
        <w:t xml:space="preserve"> A finding which occurs nowhere in the proposed Order accompanying the Motion.</w:t>
      </w:r>
    </w:p>
  </w:footnote>
  <w:footnote w:id="13">
    <w:p w14:paraId="78FCA58E" w14:textId="77777777" w:rsidR="00904A4A" w:rsidRPr="00D66754" w:rsidRDefault="00904A4A">
      <w:pPr>
        <w:pStyle w:val="FootnoteText"/>
        <w:rPr>
          <w:sz w:val="22"/>
          <w:szCs w:val="22"/>
        </w:rPr>
      </w:pPr>
      <w:r w:rsidRPr="00D66754">
        <w:rPr>
          <w:rStyle w:val="FootnoteReference"/>
          <w:sz w:val="22"/>
          <w:szCs w:val="22"/>
        </w:rPr>
        <w:footnoteRef/>
      </w:r>
      <w:r w:rsidRPr="00D66754">
        <w:rPr>
          <w:sz w:val="22"/>
          <w:szCs w:val="22"/>
        </w:rPr>
        <w:t xml:space="preserve"> </w:t>
      </w:r>
      <w:r w:rsidRPr="00D66754">
        <w:rPr>
          <w:i/>
          <w:iCs/>
          <w:sz w:val="22"/>
          <w:szCs w:val="22"/>
        </w:rPr>
        <w:t>Delmarva Power</w:t>
      </w:r>
      <w:r w:rsidRPr="00D66754">
        <w:rPr>
          <w:sz w:val="22"/>
          <w:szCs w:val="22"/>
        </w:rPr>
        <w:t>, Order No. 8011, ¶155.</w:t>
      </w:r>
    </w:p>
  </w:footnote>
  <w:footnote w:id="14">
    <w:p w14:paraId="70B710B7" w14:textId="60C4B341" w:rsidR="006B77B6" w:rsidRPr="00D66754" w:rsidRDefault="006B77B6" w:rsidP="00BB58F6">
      <w:pPr>
        <w:pStyle w:val="FootnoteText"/>
        <w:jc w:val="both"/>
        <w:rPr>
          <w:sz w:val="22"/>
          <w:szCs w:val="22"/>
        </w:rPr>
      </w:pPr>
      <w:r w:rsidRPr="00D66754">
        <w:rPr>
          <w:rStyle w:val="FootnoteReference"/>
          <w:sz w:val="22"/>
          <w:szCs w:val="22"/>
        </w:rPr>
        <w:footnoteRef/>
      </w:r>
      <w:r w:rsidRPr="00D66754">
        <w:rPr>
          <w:sz w:val="22"/>
          <w:szCs w:val="22"/>
        </w:rPr>
        <w:t xml:space="preserve"> </w:t>
      </w:r>
      <w:r w:rsidR="00023027" w:rsidRPr="00D66754">
        <w:rPr>
          <w:i/>
          <w:iCs/>
          <w:sz w:val="22"/>
          <w:szCs w:val="22"/>
        </w:rPr>
        <w:t xml:space="preserve">In the Matter of the Joint Petition of Atmos Energy </w:t>
      </w:r>
      <w:r w:rsidR="006A1063" w:rsidRPr="00D66754">
        <w:rPr>
          <w:i/>
          <w:iCs/>
          <w:sz w:val="22"/>
          <w:szCs w:val="22"/>
        </w:rPr>
        <w:t xml:space="preserve">Corporation, Colorado Natural Gas, Black Hills Colorado Gas, Inc., Black Hills Colorado Electric, Inc. and Rocky </w:t>
      </w:r>
      <w:r w:rsidR="006E1845" w:rsidRPr="00D66754">
        <w:rPr>
          <w:i/>
          <w:iCs/>
          <w:sz w:val="22"/>
          <w:szCs w:val="22"/>
        </w:rPr>
        <w:t xml:space="preserve">Mountain </w:t>
      </w:r>
      <w:r w:rsidR="00691EEB" w:rsidRPr="00D66754">
        <w:rPr>
          <w:i/>
          <w:iCs/>
          <w:sz w:val="22"/>
          <w:szCs w:val="22"/>
        </w:rPr>
        <w:t xml:space="preserve">Natural Gas, LLC for Authorization to Track </w:t>
      </w:r>
      <w:r w:rsidR="00A024B7" w:rsidRPr="00D66754">
        <w:rPr>
          <w:i/>
          <w:iCs/>
          <w:sz w:val="22"/>
          <w:szCs w:val="22"/>
        </w:rPr>
        <w:t xml:space="preserve">Expenses Resulting from the Effects of </w:t>
      </w:r>
      <w:r w:rsidR="00B44DAA" w:rsidRPr="00D66754">
        <w:rPr>
          <w:i/>
          <w:iCs/>
          <w:sz w:val="22"/>
          <w:szCs w:val="22"/>
        </w:rPr>
        <w:t>COVID</w:t>
      </w:r>
      <w:r w:rsidR="00A024B7" w:rsidRPr="00D66754">
        <w:rPr>
          <w:i/>
          <w:iCs/>
          <w:sz w:val="22"/>
          <w:szCs w:val="22"/>
        </w:rPr>
        <w:t xml:space="preserve">-19 </w:t>
      </w:r>
      <w:r w:rsidR="0047323E" w:rsidRPr="00D66754">
        <w:rPr>
          <w:i/>
          <w:iCs/>
          <w:sz w:val="22"/>
          <w:szCs w:val="22"/>
        </w:rPr>
        <w:t xml:space="preserve">and Record and Defer Such Costs Into a Regulatory Asset, </w:t>
      </w:r>
      <w:r w:rsidR="00A90148" w:rsidRPr="00D66754">
        <w:rPr>
          <w:sz w:val="22"/>
          <w:szCs w:val="22"/>
        </w:rPr>
        <w:t xml:space="preserve">Proceeding 20V-1509EG, </w:t>
      </w:r>
      <w:r w:rsidR="0011070D" w:rsidRPr="00D66754">
        <w:rPr>
          <w:sz w:val="22"/>
          <w:szCs w:val="22"/>
        </w:rPr>
        <w:t xml:space="preserve">Notice of Intervention as of Right by Staff, Entry of Appearance and Notice Pursuant to Rule </w:t>
      </w:r>
      <w:r w:rsidR="00FB6075" w:rsidRPr="00D66754">
        <w:rPr>
          <w:sz w:val="22"/>
          <w:szCs w:val="22"/>
        </w:rPr>
        <w:t xml:space="preserve">1007(a) and Rule 1401, </w:t>
      </w:r>
      <w:r w:rsidR="00B203A2" w:rsidRPr="00D66754">
        <w:rPr>
          <w:sz w:val="22"/>
          <w:szCs w:val="22"/>
        </w:rPr>
        <w:t xml:space="preserve">pp. 2-3. (Attachment </w:t>
      </w:r>
      <w:r w:rsidR="00C05DA2" w:rsidRPr="00D66754">
        <w:rPr>
          <w:sz w:val="22"/>
          <w:szCs w:val="22"/>
        </w:rPr>
        <w:t>F</w:t>
      </w:r>
      <w:r w:rsidR="00B203A2" w:rsidRPr="00D66754">
        <w:rPr>
          <w:sz w:val="22"/>
          <w:szCs w:val="22"/>
        </w:rPr>
        <w:t>)</w:t>
      </w:r>
    </w:p>
  </w:footnote>
  <w:footnote w:id="15">
    <w:p w14:paraId="67F48463" w14:textId="5FC57FDC" w:rsidR="00CA3DA0" w:rsidRPr="00D66754" w:rsidRDefault="00CA3DA0">
      <w:pPr>
        <w:pStyle w:val="FootnoteText"/>
        <w:rPr>
          <w:sz w:val="22"/>
          <w:szCs w:val="22"/>
        </w:rPr>
      </w:pPr>
      <w:r w:rsidRPr="00D66754">
        <w:rPr>
          <w:rStyle w:val="FootnoteReference"/>
          <w:sz w:val="22"/>
          <w:szCs w:val="22"/>
        </w:rPr>
        <w:footnoteRef/>
      </w:r>
      <w:r w:rsidRPr="00D66754">
        <w:rPr>
          <w:sz w:val="22"/>
          <w:szCs w:val="22"/>
        </w:rPr>
        <w:t xml:space="preserve"> Two years’ worth of unemployment claims in a month. https://www.middletowntranscript.com/news/20200423/two-years-worth-of-unemployment-claims-in-month</w:t>
      </w:r>
    </w:p>
  </w:footnote>
  <w:footnote w:id="16">
    <w:p w14:paraId="0D6FDC92" w14:textId="4A003D70" w:rsidR="00CA3DA0" w:rsidRPr="00D66754" w:rsidRDefault="00CA3DA0">
      <w:pPr>
        <w:pStyle w:val="FootnoteText"/>
        <w:rPr>
          <w:i/>
          <w:sz w:val="22"/>
          <w:szCs w:val="22"/>
        </w:rPr>
      </w:pPr>
      <w:r w:rsidRPr="00D66754">
        <w:rPr>
          <w:rStyle w:val="FootnoteReference"/>
          <w:sz w:val="22"/>
          <w:szCs w:val="22"/>
        </w:rPr>
        <w:footnoteRef/>
      </w:r>
      <w:r w:rsidRPr="00D66754">
        <w:rPr>
          <w:sz w:val="22"/>
          <w:szCs w:val="22"/>
        </w:rPr>
        <w:t xml:space="preserve"> </w:t>
      </w:r>
      <w:r w:rsidRPr="00D66754">
        <w:rPr>
          <w:i/>
          <w:sz w:val="22"/>
          <w:szCs w:val="22"/>
        </w:rPr>
        <w:t>Id.</w:t>
      </w:r>
    </w:p>
  </w:footnote>
  <w:footnote w:id="17">
    <w:p w14:paraId="155D82B9" w14:textId="5CCF57B0" w:rsidR="00CA3DA0" w:rsidRPr="00D66754" w:rsidRDefault="00CA3DA0">
      <w:pPr>
        <w:pStyle w:val="FootnoteText"/>
        <w:rPr>
          <w:sz w:val="22"/>
          <w:szCs w:val="22"/>
        </w:rPr>
      </w:pPr>
      <w:r w:rsidRPr="00D66754">
        <w:rPr>
          <w:rStyle w:val="FootnoteReference"/>
          <w:sz w:val="22"/>
          <w:szCs w:val="22"/>
        </w:rPr>
        <w:footnoteRef/>
      </w:r>
      <w:r w:rsidRPr="00D66754">
        <w:rPr>
          <w:sz w:val="22"/>
          <w:szCs w:val="22"/>
        </w:rPr>
        <w:t xml:space="preserve"> GM suspends its dividend and stock repurchases to preserve cash. https://www.marketwatch.com/story/gm-suspends-its-dividend-and-stock-repurchases-to-preserve-cash-2020-04-27</w:t>
      </w:r>
    </w:p>
  </w:footnote>
  <w:footnote w:id="18">
    <w:p w14:paraId="05AAC06B" w14:textId="21AC4D9F" w:rsidR="00F02E1D" w:rsidRPr="00D66754" w:rsidRDefault="00F02E1D">
      <w:pPr>
        <w:pStyle w:val="FootnoteText"/>
        <w:rPr>
          <w:sz w:val="22"/>
          <w:szCs w:val="22"/>
        </w:rPr>
      </w:pPr>
      <w:r w:rsidRPr="00D66754">
        <w:rPr>
          <w:rStyle w:val="FootnoteReference"/>
          <w:sz w:val="22"/>
          <w:szCs w:val="22"/>
        </w:rPr>
        <w:footnoteRef/>
      </w:r>
      <w:r w:rsidRPr="00D66754">
        <w:rPr>
          <w:sz w:val="22"/>
          <w:szCs w:val="22"/>
        </w:rPr>
        <w:t xml:space="preserve"> 48 CEOs taking pay cut to help their companies survive the coronavirus.  http://www.msn.com/en-us/money/companies/48-ceos-taking-pay-cuts-to-help-their-companies-survive-the-coronavirus/ss-BB13l1Hr?ocid=ientp</w:t>
      </w:r>
    </w:p>
  </w:footnote>
  <w:footnote w:id="19">
    <w:p w14:paraId="47CCCD3C" w14:textId="6D96BD01" w:rsidR="007B7A5E" w:rsidRPr="00D66754" w:rsidRDefault="007B7A5E">
      <w:pPr>
        <w:pStyle w:val="FootnoteText"/>
        <w:rPr>
          <w:sz w:val="22"/>
          <w:szCs w:val="22"/>
        </w:rPr>
      </w:pPr>
      <w:r w:rsidRPr="00D66754">
        <w:rPr>
          <w:rStyle w:val="FootnoteReference"/>
          <w:sz w:val="22"/>
          <w:szCs w:val="22"/>
        </w:rPr>
        <w:footnoteRef/>
      </w:r>
      <w:r w:rsidRPr="00D66754">
        <w:rPr>
          <w:sz w:val="22"/>
          <w:szCs w:val="22"/>
        </w:rPr>
        <w:t xml:space="preserve"> Staff sent an e-mail on April 6, 2020.  The DPA submitted an e-mail on April 9</w:t>
      </w:r>
      <w:r w:rsidRPr="00D66754">
        <w:rPr>
          <w:sz w:val="22"/>
          <w:szCs w:val="22"/>
          <w:vertAlign w:val="superscript"/>
        </w:rPr>
        <w:t>th</w:t>
      </w:r>
      <w:r w:rsidRPr="00D66754">
        <w:rPr>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CC"/>
    <w:multiLevelType w:val="hybridMultilevel"/>
    <w:tmpl w:val="EF505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C70C4"/>
    <w:multiLevelType w:val="hybridMultilevel"/>
    <w:tmpl w:val="BE984CB2"/>
    <w:lvl w:ilvl="0" w:tplc="B0D8C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860CC3"/>
    <w:multiLevelType w:val="hybridMultilevel"/>
    <w:tmpl w:val="3F3C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6074C"/>
    <w:multiLevelType w:val="hybridMultilevel"/>
    <w:tmpl w:val="6D1A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A54341"/>
    <w:multiLevelType w:val="hybridMultilevel"/>
    <w:tmpl w:val="BE984CB2"/>
    <w:lvl w:ilvl="0" w:tplc="B0D8C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8F"/>
    <w:rsid w:val="0000198F"/>
    <w:rsid w:val="00004E26"/>
    <w:rsid w:val="00013403"/>
    <w:rsid w:val="00023027"/>
    <w:rsid w:val="00025369"/>
    <w:rsid w:val="000260B8"/>
    <w:rsid w:val="00027F6E"/>
    <w:rsid w:val="00036118"/>
    <w:rsid w:val="00041C61"/>
    <w:rsid w:val="00053D24"/>
    <w:rsid w:val="000632ED"/>
    <w:rsid w:val="00063839"/>
    <w:rsid w:val="000639E8"/>
    <w:rsid w:val="00076E74"/>
    <w:rsid w:val="00092678"/>
    <w:rsid w:val="00094F3B"/>
    <w:rsid w:val="000B7E09"/>
    <w:rsid w:val="000D0378"/>
    <w:rsid w:val="000D1FDC"/>
    <w:rsid w:val="000E22DD"/>
    <w:rsid w:val="000E443D"/>
    <w:rsid w:val="000E69EF"/>
    <w:rsid w:val="000E70D1"/>
    <w:rsid w:val="0011070D"/>
    <w:rsid w:val="00110D01"/>
    <w:rsid w:val="00112CEC"/>
    <w:rsid w:val="00117771"/>
    <w:rsid w:val="00126941"/>
    <w:rsid w:val="00126F0D"/>
    <w:rsid w:val="00130F56"/>
    <w:rsid w:val="00131F5C"/>
    <w:rsid w:val="001422A0"/>
    <w:rsid w:val="00146646"/>
    <w:rsid w:val="00153C5A"/>
    <w:rsid w:val="00157FFA"/>
    <w:rsid w:val="00161A2D"/>
    <w:rsid w:val="00193F12"/>
    <w:rsid w:val="0019522A"/>
    <w:rsid w:val="001A0CCA"/>
    <w:rsid w:val="001A233A"/>
    <w:rsid w:val="001C0336"/>
    <w:rsid w:val="001C7E14"/>
    <w:rsid w:val="001D57F4"/>
    <w:rsid w:val="001E0230"/>
    <w:rsid w:val="001F3D0B"/>
    <w:rsid w:val="001F6631"/>
    <w:rsid w:val="001F6ADA"/>
    <w:rsid w:val="00213847"/>
    <w:rsid w:val="00215827"/>
    <w:rsid w:val="002442D5"/>
    <w:rsid w:val="002471DC"/>
    <w:rsid w:val="00252D96"/>
    <w:rsid w:val="00270969"/>
    <w:rsid w:val="00270C29"/>
    <w:rsid w:val="00284082"/>
    <w:rsid w:val="00285239"/>
    <w:rsid w:val="00293B7E"/>
    <w:rsid w:val="00297377"/>
    <w:rsid w:val="002A669B"/>
    <w:rsid w:val="002B051E"/>
    <w:rsid w:val="002B7ECA"/>
    <w:rsid w:val="002D1A98"/>
    <w:rsid w:val="002E7182"/>
    <w:rsid w:val="002F36B5"/>
    <w:rsid w:val="002F7EC0"/>
    <w:rsid w:val="00303796"/>
    <w:rsid w:val="003155BD"/>
    <w:rsid w:val="00320CC0"/>
    <w:rsid w:val="00322AEE"/>
    <w:rsid w:val="00322B04"/>
    <w:rsid w:val="0033278D"/>
    <w:rsid w:val="00351A2F"/>
    <w:rsid w:val="0036070F"/>
    <w:rsid w:val="00365395"/>
    <w:rsid w:val="00366EFD"/>
    <w:rsid w:val="00376291"/>
    <w:rsid w:val="00395D72"/>
    <w:rsid w:val="003A0D51"/>
    <w:rsid w:val="003A1BAD"/>
    <w:rsid w:val="003B6E39"/>
    <w:rsid w:val="003C5EAA"/>
    <w:rsid w:val="003C7976"/>
    <w:rsid w:val="003E485A"/>
    <w:rsid w:val="004010C9"/>
    <w:rsid w:val="00404131"/>
    <w:rsid w:val="00405C43"/>
    <w:rsid w:val="0040752A"/>
    <w:rsid w:val="004227D6"/>
    <w:rsid w:val="00426A48"/>
    <w:rsid w:val="00442A09"/>
    <w:rsid w:val="00453621"/>
    <w:rsid w:val="00454DDC"/>
    <w:rsid w:val="00456221"/>
    <w:rsid w:val="00456A1A"/>
    <w:rsid w:val="00464AF3"/>
    <w:rsid w:val="00467855"/>
    <w:rsid w:val="0047323E"/>
    <w:rsid w:val="0047616C"/>
    <w:rsid w:val="00491D9A"/>
    <w:rsid w:val="004A1286"/>
    <w:rsid w:val="004A3AFB"/>
    <w:rsid w:val="004A6BE3"/>
    <w:rsid w:val="004A724D"/>
    <w:rsid w:val="004C05D0"/>
    <w:rsid w:val="004C0E02"/>
    <w:rsid w:val="004C394C"/>
    <w:rsid w:val="004C5E90"/>
    <w:rsid w:val="004D1DAE"/>
    <w:rsid w:val="004D6BA9"/>
    <w:rsid w:val="004E3FF4"/>
    <w:rsid w:val="004E799E"/>
    <w:rsid w:val="004F3EDB"/>
    <w:rsid w:val="00512EE8"/>
    <w:rsid w:val="00515A16"/>
    <w:rsid w:val="0052530F"/>
    <w:rsid w:val="0053000B"/>
    <w:rsid w:val="00533E64"/>
    <w:rsid w:val="00540B90"/>
    <w:rsid w:val="00543D27"/>
    <w:rsid w:val="005514A7"/>
    <w:rsid w:val="00551667"/>
    <w:rsid w:val="00567733"/>
    <w:rsid w:val="00570E7C"/>
    <w:rsid w:val="00571E83"/>
    <w:rsid w:val="0057380E"/>
    <w:rsid w:val="00576ECE"/>
    <w:rsid w:val="00581C98"/>
    <w:rsid w:val="00583289"/>
    <w:rsid w:val="00587B19"/>
    <w:rsid w:val="005C19EA"/>
    <w:rsid w:val="005C6F0C"/>
    <w:rsid w:val="005D474B"/>
    <w:rsid w:val="005E2500"/>
    <w:rsid w:val="005E37D6"/>
    <w:rsid w:val="005E45B6"/>
    <w:rsid w:val="005E61A8"/>
    <w:rsid w:val="005F62A5"/>
    <w:rsid w:val="00602895"/>
    <w:rsid w:val="006029EC"/>
    <w:rsid w:val="006075DB"/>
    <w:rsid w:val="006106BD"/>
    <w:rsid w:val="00610C9A"/>
    <w:rsid w:val="0062242F"/>
    <w:rsid w:val="006245C2"/>
    <w:rsid w:val="006372D8"/>
    <w:rsid w:val="006539B1"/>
    <w:rsid w:val="00661296"/>
    <w:rsid w:val="00673152"/>
    <w:rsid w:val="00676877"/>
    <w:rsid w:val="00680095"/>
    <w:rsid w:val="00691EEB"/>
    <w:rsid w:val="006A1063"/>
    <w:rsid w:val="006B77B6"/>
    <w:rsid w:val="006C5B28"/>
    <w:rsid w:val="006D20A1"/>
    <w:rsid w:val="006E1845"/>
    <w:rsid w:val="006E5666"/>
    <w:rsid w:val="006F1F88"/>
    <w:rsid w:val="006F47E0"/>
    <w:rsid w:val="006F5EDC"/>
    <w:rsid w:val="007042BD"/>
    <w:rsid w:val="00710767"/>
    <w:rsid w:val="00712608"/>
    <w:rsid w:val="007160A9"/>
    <w:rsid w:val="00726470"/>
    <w:rsid w:val="00734F4A"/>
    <w:rsid w:val="0075416F"/>
    <w:rsid w:val="0075611E"/>
    <w:rsid w:val="00777F82"/>
    <w:rsid w:val="007832D5"/>
    <w:rsid w:val="007833FB"/>
    <w:rsid w:val="0078667A"/>
    <w:rsid w:val="007922D3"/>
    <w:rsid w:val="007A11EF"/>
    <w:rsid w:val="007B6622"/>
    <w:rsid w:val="007B7A5E"/>
    <w:rsid w:val="007C1E75"/>
    <w:rsid w:val="007C7027"/>
    <w:rsid w:val="007D0B0C"/>
    <w:rsid w:val="007E0655"/>
    <w:rsid w:val="007E0B36"/>
    <w:rsid w:val="007E31EF"/>
    <w:rsid w:val="008039CC"/>
    <w:rsid w:val="00826B66"/>
    <w:rsid w:val="008334C9"/>
    <w:rsid w:val="0083434E"/>
    <w:rsid w:val="00834AC2"/>
    <w:rsid w:val="00834BB5"/>
    <w:rsid w:val="00854558"/>
    <w:rsid w:val="008566B9"/>
    <w:rsid w:val="00857517"/>
    <w:rsid w:val="00861B00"/>
    <w:rsid w:val="008726B8"/>
    <w:rsid w:val="0089391A"/>
    <w:rsid w:val="008B196F"/>
    <w:rsid w:val="008C2928"/>
    <w:rsid w:val="008C67A2"/>
    <w:rsid w:val="008D6314"/>
    <w:rsid w:val="008E2DDB"/>
    <w:rsid w:val="008E5ABC"/>
    <w:rsid w:val="008E685F"/>
    <w:rsid w:val="00904A4A"/>
    <w:rsid w:val="00906FE1"/>
    <w:rsid w:val="00924024"/>
    <w:rsid w:val="00942698"/>
    <w:rsid w:val="0095040E"/>
    <w:rsid w:val="00952EE2"/>
    <w:rsid w:val="0095720F"/>
    <w:rsid w:val="009670C0"/>
    <w:rsid w:val="0098151C"/>
    <w:rsid w:val="009816F9"/>
    <w:rsid w:val="009828AD"/>
    <w:rsid w:val="00985EF6"/>
    <w:rsid w:val="009922CC"/>
    <w:rsid w:val="00993BC7"/>
    <w:rsid w:val="009A4A1C"/>
    <w:rsid w:val="009A7444"/>
    <w:rsid w:val="009B740D"/>
    <w:rsid w:val="009B7B7E"/>
    <w:rsid w:val="009D3054"/>
    <w:rsid w:val="009E3B09"/>
    <w:rsid w:val="009F1973"/>
    <w:rsid w:val="009F5C00"/>
    <w:rsid w:val="00A02062"/>
    <w:rsid w:val="00A024B7"/>
    <w:rsid w:val="00A035F7"/>
    <w:rsid w:val="00A046FD"/>
    <w:rsid w:val="00A06C23"/>
    <w:rsid w:val="00A07D99"/>
    <w:rsid w:val="00A07ECB"/>
    <w:rsid w:val="00A119B3"/>
    <w:rsid w:val="00A121B4"/>
    <w:rsid w:val="00A23384"/>
    <w:rsid w:val="00A31654"/>
    <w:rsid w:val="00A36300"/>
    <w:rsid w:val="00A4644E"/>
    <w:rsid w:val="00A504B5"/>
    <w:rsid w:val="00A528FC"/>
    <w:rsid w:val="00A70B0B"/>
    <w:rsid w:val="00A70D98"/>
    <w:rsid w:val="00A731CF"/>
    <w:rsid w:val="00A801FA"/>
    <w:rsid w:val="00A824F6"/>
    <w:rsid w:val="00A8310D"/>
    <w:rsid w:val="00A85B04"/>
    <w:rsid w:val="00A90148"/>
    <w:rsid w:val="00A92CDA"/>
    <w:rsid w:val="00A951A9"/>
    <w:rsid w:val="00A95E8B"/>
    <w:rsid w:val="00AB5056"/>
    <w:rsid w:val="00AD10D6"/>
    <w:rsid w:val="00AD12D5"/>
    <w:rsid w:val="00AD6A1A"/>
    <w:rsid w:val="00AE2932"/>
    <w:rsid w:val="00AE4B57"/>
    <w:rsid w:val="00AF5EEE"/>
    <w:rsid w:val="00AF62F6"/>
    <w:rsid w:val="00B00890"/>
    <w:rsid w:val="00B02304"/>
    <w:rsid w:val="00B028E9"/>
    <w:rsid w:val="00B04CD9"/>
    <w:rsid w:val="00B05966"/>
    <w:rsid w:val="00B10CAD"/>
    <w:rsid w:val="00B1708E"/>
    <w:rsid w:val="00B203A2"/>
    <w:rsid w:val="00B229E8"/>
    <w:rsid w:val="00B2786B"/>
    <w:rsid w:val="00B316CA"/>
    <w:rsid w:val="00B42F46"/>
    <w:rsid w:val="00B44CDD"/>
    <w:rsid w:val="00B44DAA"/>
    <w:rsid w:val="00B4600D"/>
    <w:rsid w:val="00B542A0"/>
    <w:rsid w:val="00B614D5"/>
    <w:rsid w:val="00B80721"/>
    <w:rsid w:val="00B81527"/>
    <w:rsid w:val="00B825A4"/>
    <w:rsid w:val="00B85A6E"/>
    <w:rsid w:val="00B8783A"/>
    <w:rsid w:val="00BA08CA"/>
    <w:rsid w:val="00BA0F52"/>
    <w:rsid w:val="00BA191B"/>
    <w:rsid w:val="00BA3CA9"/>
    <w:rsid w:val="00BB58F6"/>
    <w:rsid w:val="00BB736D"/>
    <w:rsid w:val="00BC4D19"/>
    <w:rsid w:val="00BD54BE"/>
    <w:rsid w:val="00BE1AB3"/>
    <w:rsid w:val="00BE230A"/>
    <w:rsid w:val="00BE6D8B"/>
    <w:rsid w:val="00BE7EB1"/>
    <w:rsid w:val="00BF491A"/>
    <w:rsid w:val="00BF5127"/>
    <w:rsid w:val="00C034E6"/>
    <w:rsid w:val="00C05DA2"/>
    <w:rsid w:val="00C07DDC"/>
    <w:rsid w:val="00C12EC6"/>
    <w:rsid w:val="00C30AF2"/>
    <w:rsid w:val="00C35F17"/>
    <w:rsid w:val="00C41522"/>
    <w:rsid w:val="00C41A04"/>
    <w:rsid w:val="00C6003B"/>
    <w:rsid w:val="00C65E28"/>
    <w:rsid w:val="00C70577"/>
    <w:rsid w:val="00C82683"/>
    <w:rsid w:val="00C90612"/>
    <w:rsid w:val="00C90E92"/>
    <w:rsid w:val="00C953D6"/>
    <w:rsid w:val="00CA3DA0"/>
    <w:rsid w:val="00CB1FD5"/>
    <w:rsid w:val="00CC4106"/>
    <w:rsid w:val="00CD48E7"/>
    <w:rsid w:val="00CE097F"/>
    <w:rsid w:val="00CE0AFB"/>
    <w:rsid w:val="00CF0C9A"/>
    <w:rsid w:val="00D17FED"/>
    <w:rsid w:val="00D229E4"/>
    <w:rsid w:val="00D31DF7"/>
    <w:rsid w:val="00D44A4D"/>
    <w:rsid w:val="00D57D1D"/>
    <w:rsid w:val="00D610E5"/>
    <w:rsid w:val="00D66754"/>
    <w:rsid w:val="00D72EBF"/>
    <w:rsid w:val="00D7392F"/>
    <w:rsid w:val="00D81C38"/>
    <w:rsid w:val="00DA73D3"/>
    <w:rsid w:val="00DB643C"/>
    <w:rsid w:val="00DC402A"/>
    <w:rsid w:val="00DD741F"/>
    <w:rsid w:val="00DE1B2F"/>
    <w:rsid w:val="00DE59C4"/>
    <w:rsid w:val="00DF1D45"/>
    <w:rsid w:val="00DF2B2A"/>
    <w:rsid w:val="00DF3148"/>
    <w:rsid w:val="00E0061E"/>
    <w:rsid w:val="00E06F07"/>
    <w:rsid w:val="00E13150"/>
    <w:rsid w:val="00E14005"/>
    <w:rsid w:val="00E161EF"/>
    <w:rsid w:val="00E16A8D"/>
    <w:rsid w:val="00E3034D"/>
    <w:rsid w:val="00E343D5"/>
    <w:rsid w:val="00E378E7"/>
    <w:rsid w:val="00E41707"/>
    <w:rsid w:val="00E4171A"/>
    <w:rsid w:val="00E42FE8"/>
    <w:rsid w:val="00E450BE"/>
    <w:rsid w:val="00E47278"/>
    <w:rsid w:val="00E61C8A"/>
    <w:rsid w:val="00E74DC7"/>
    <w:rsid w:val="00E773FD"/>
    <w:rsid w:val="00E80FA9"/>
    <w:rsid w:val="00E874EF"/>
    <w:rsid w:val="00E95E17"/>
    <w:rsid w:val="00E9780C"/>
    <w:rsid w:val="00EC100C"/>
    <w:rsid w:val="00EC39FD"/>
    <w:rsid w:val="00ED4E48"/>
    <w:rsid w:val="00EE0333"/>
    <w:rsid w:val="00EE2E05"/>
    <w:rsid w:val="00EF6790"/>
    <w:rsid w:val="00EF69EA"/>
    <w:rsid w:val="00EF6C48"/>
    <w:rsid w:val="00F02E1D"/>
    <w:rsid w:val="00F300A8"/>
    <w:rsid w:val="00F31E24"/>
    <w:rsid w:val="00F32C3E"/>
    <w:rsid w:val="00F34893"/>
    <w:rsid w:val="00F35177"/>
    <w:rsid w:val="00F37D97"/>
    <w:rsid w:val="00F427E2"/>
    <w:rsid w:val="00F42C35"/>
    <w:rsid w:val="00F46126"/>
    <w:rsid w:val="00F4664B"/>
    <w:rsid w:val="00F548BA"/>
    <w:rsid w:val="00F552F7"/>
    <w:rsid w:val="00F55DE1"/>
    <w:rsid w:val="00F60C3B"/>
    <w:rsid w:val="00F62099"/>
    <w:rsid w:val="00F6686D"/>
    <w:rsid w:val="00F90D4E"/>
    <w:rsid w:val="00F9238A"/>
    <w:rsid w:val="00FA5E0C"/>
    <w:rsid w:val="00FB2B80"/>
    <w:rsid w:val="00FB6075"/>
    <w:rsid w:val="00FC6A44"/>
    <w:rsid w:val="00FD5809"/>
    <w:rsid w:val="00FE1226"/>
    <w:rsid w:val="00FE7BDB"/>
    <w:rsid w:val="00FF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0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8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98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678"/>
    <w:pPr>
      <w:ind w:left="720"/>
      <w:contextualSpacing/>
    </w:pPr>
  </w:style>
  <w:style w:type="paragraph" w:styleId="FootnoteText">
    <w:name w:val="footnote text"/>
    <w:basedOn w:val="Normal"/>
    <w:link w:val="FootnoteTextChar"/>
    <w:uiPriority w:val="99"/>
    <w:semiHidden/>
    <w:unhideWhenUsed/>
    <w:rsid w:val="009828AD"/>
    <w:rPr>
      <w:sz w:val="20"/>
      <w:szCs w:val="20"/>
    </w:rPr>
  </w:style>
  <w:style w:type="character" w:customStyle="1" w:styleId="FootnoteTextChar">
    <w:name w:val="Footnote Text Char"/>
    <w:basedOn w:val="DefaultParagraphFont"/>
    <w:link w:val="FootnoteText"/>
    <w:uiPriority w:val="99"/>
    <w:semiHidden/>
    <w:rsid w:val="009828AD"/>
    <w:rPr>
      <w:rFonts w:ascii="Times New Roman" w:hAnsi="Times New Roman"/>
      <w:sz w:val="20"/>
      <w:szCs w:val="20"/>
    </w:rPr>
  </w:style>
  <w:style w:type="character" w:styleId="FootnoteReference">
    <w:name w:val="footnote reference"/>
    <w:basedOn w:val="DefaultParagraphFont"/>
    <w:uiPriority w:val="99"/>
    <w:semiHidden/>
    <w:unhideWhenUsed/>
    <w:rsid w:val="009828AD"/>
    <w:rPr>
      <w:vertAlign w:val="superscript"/>
    </w:rPr>
  </w:style>
  <w:style w:type="character" w:styleId="CommentReference">
    <w:name w:val="annotation reference"/>
    <w:basedOn w:val="DefaultParagraphFont"/>
    <w:uiPriority w:val="99"/>
    <w:semiHidden/>
    <w:unhideWhenUsed/>
    <w:rsid w:val="00157FFA"/>
    <w:rPr>
      <w:sz w:val="16"/>
      <w:szCs w:val="16"/>
    </w:rPr>
  </w:style>
  <w:style w:type="paragraph" w:styleId="CommentText">
    <w:name w:val="annotation text"/>
    <w:basedOn w:val="Normal"/>
    <w:link w:val="CommentTextChar"/>
    <w:uiPriority w:val="99"/>
    <w:semiHidden/>
    <w:unhideWhenUsed/>
    <w:rsid w:val="00157FFA"/>
    <w:rPr>
      <w:sz w:val="20"/>
      <w:szCs w:val="20"/>
    </w:rPr>
  </w:style>
  <w:style w:type="character" w:customStyle="1" w:styleId="CommentTextChar">
    <w:name w:val="Comment Text Char"/>
    <w:basedOn w:val="DefaultParagraphFont"/>
    <w:link w:val="CommentText"/>
    <w:uiPriority w:val="99"/>
    <w:semiHidden/>
    <w:rsid w:val="00157F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7FFA"/>
    <w:rPr>
      <w:b/>
      <w:bCs/>
    </w:rPr>
  </w:style>
  <w:style w:type="character" w:customStyle="1" w:styleId="CommentSubjectChar">
    <w:name w:val="Comment Subject Char"/>
    <w:basedOn w:val="CommentTextChar"/>
    <w:link w:val="CommentSubject"/>
    <w:uiPriority w:val="99"/>
    <w:semiHidden/>
    <w:rsid w:val="00157FFA"/>
    <w:rPr>
      <w:rFonts w:ascii="Times New Roman" w:hAnsi="Times New Roman"/>
      <w:b/>
      <w:bCs/>
      <w:sz w:val="20"/>
      <w:szCs w:val="20"/>
    </w:rPr>
  </w:style>
  <w:style w:type="paragraph" w:styleId="BalloonText">
    <w:name w:val="Balloon Text"/>
    <w:basedOn w:val="Normal"/>
    <w:link w:val="BalloonTextChar"/>
    <w:uiPriority w:val="99"/>
    <w:semiHidden/>
    <w:unhideWhenUsed/>
    <w:rsid w:val="0015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FA"/>
    <w:rPr>
      <w:rFonts w:ascii="Segoe UI" w:hAnsi="Segoe UI" w:cs="Segoe UI"/>
      <w:sz w:val="18"/>
      <w:szCs w:val="18"/>
    </w:rPr>
  </w:style>
  <w:style w:type="character" w:styleId="Hyperlink">
    <w:name w:val="Hyperlink"/>
    <w:basedOn w:val="DefaultParagraphFont"/>
    <w:uiPriority w:val="99"/>
    <w:unhideWhenUsed/>
    <w:rsid w:val="00DF2B2A"/>
    <w:rPr>
      <w:color w:val="0563C1" w:themeColor="hyperlink"/>
      <w:u w:val="single"/>
    </w:rPr>
  </w:style>
  <w:style w:type="paragraph" w:styleId="NormalWeb">
    <w:name w:val="Normal (Web)"/>
    <w:basedOn w:val="Normal"/>
    <w:uiPriority w:val="99"/>
    <w:semiHidden/>
    <w:unhideWhenUsed/>
    <w:rsid w:val="0062242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2242F"/>
    <w:rPr>
      <w:b/>
      <w:bCs/>
    </w:rPr>
  </w:style>
  <w:style w:type="paragraph" w:styleId="Header">
    <w:name w:val="header"/>
    <w:basedOn w:val="Normal"/>
    <w:link w:val="HeaderChar"/>
    <w:uiPriority w:val="99"/>
    <w:unhideWhenUsed/>
    <w:rsid w:val="00FD5809"/>
    <w:pPr>
      <w:tabs>
        <w:tab w:val="center" w:pos="4680"/>
        <w:tab w:val="right" w:pos="9360"/>
      </w:tabs>
    </w:pPr>
  </w:style>
  <w:style w:type="character" w:customStyle="1" w:styleId="HeaderChar">
    <w:name w:val="Header Char"/>
    <w:basedOn w:val="DefaultParagraphFont"/>
    <w:link w:val="Header"/>
    <w:uiPriority w:val="99"/>
    <w:rsid w:val="00FD5809"/>
    <w:rPr>
      <w:rFonts w:ascii="Times New Roman" w:hAnsi="Times New Roman"/>
      <w:sz w:val="24"/>
    </w:rPr>
  </w:style>
  <w:style w:type="paragraph" w:styleId="Footer">
    <w:name w:val="footer"/>
    <w:basedOn w:val="Normal"/>
    <w:link w:val="FooterChar"/>
    <w:uiPriority w:val="99"/>
    <w:unhideWhenUsed/>
    <w:rsid w:val="00FD5809"/>
    <w:pPr>
      <w:tabs>
        <w:tab w:val="center" w:pos="4680"/>
        <w:tab w:val="right" w:pos="9360"/>
      </w:tabs>
    </w:pPr>
  </w:style>
  <w:style w:type="character" w:customStyle="1" w:styleId="FooterChar">
    <w:name w:val="Footer Char"/>
    <w:basedOn w:val="DefaultParagraphFont"/>
    <w:link w:val="Footer"/>
    <w:uiPriority w:val="99"/>
    <w:rsid w:val="00FD5809"/>
    <w:rPr>
      <w:rFonts w:ascii="Times New Roman" w:hAnsi="Times New Roman"/>
      <w:sz w:val="24"/>
    </w:rPr>
  </w:style>
  <w:style w:type="character" w:customStyle="1" w:styleId="UnresolvedMention1">
    <w:name w:val="Unresolved Mention1"/>
    <w:basedOn w:val="DefaultParagraphFont"/>
    <w:uiPriority w:val="99"/>
    <w:semiHidden/>
    <w:unhideWhenUsed/>
    <w:rsid w:val="00FD580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8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98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678"/>
    <w:pPr>
      <w:ind w:left="720"/>
      <w:contextualSpacing/>
    </w:pPr>
  </w:style>
  <w:style w:type="paragraph" w:styleId="FootnoteText">
    <w:name w:val="footnote text"/>
    <w:basedOn w:val="Normal"/>
    <w:link w:val="FootnoteTextChar"/>
    <w:uiPriority w:val="99"/>
    <w:semiHidden/>
    <w:unhideWhenUsed/>
    <w:rsid w:val="009828AD"/>
    <w:rPr>
      <w:sz w:val="20"/>
      <w:szCs w:val="20"/>
    </w:rPr>
  </w:style>
  <w:style w:type="character" w:customStyle="1" w:styleId="FootnoteTextChar">
    <w:name w:val="Footnote Text Char"/>
    <w:basedOn w:val="DefaultParagraphFont"/>
    <w:link w:val="FootnoteText"/>
    <w:uiPriority w:val="99"/>
    <w:semiHidden/>
    <w:rsid w:val="009828AD"/>
    <w:rPr>
      <w:rFonts w:ascii="Times New Roman" w:hAnsi="Times New Roman"/>
      <w:sz w:val="20"/>
      <w:szCs w:val="20"/>
    </w:rPr>
  </w:style>
  <w:style w:type="character" w:styleId="FootnoteReference">
    <w:name w:val="footnote reference"/>
    <w:basedOn w:val="DefaultParagraphFont"/>
    <w:uiPriority w:val="99"/>
    <w:semiHidden/>
    <w:unhideWhenUsed/>
    <w:rsid w:val="009828AD"/>
    <w:rPr>
      <w:vertAlign w:val="superscript"/>
    </w:rPr>
  </w:style>
  <w:style w:type="character" w:styleId="CommentReference">
    <w:name w:val="annotation reference"/>
    <w:basedOn w:val="DefaultParagraphFont"/>
    <w:uiPriority w:val="99"/>
    <w:semiHidden/>
    <w:unhideWhenUsed/>
    <w:rsid w:val="00157FFA"/>
    <w:rPr>
      <w:sz w:val="16"/>
      <w:szCs w:val="16"/>
    </w:rPr>
  </w:style>
  <w:style w:type="paragraph" w:styleId="CommentText">
    <w:name w:val="annotation text"/>
    <w:basedOn w:val="Normal"/>
    <w:link w:val="CommentTextChar"/>
    <w:uiPriority w:val="99"/>
    <w:semiHidden/>
    <w:unhideWhenUsed/>
    <w:rsid w:val="00157FFA"/>
    <w:rPr>
      <w:sz w:val="20"/>
      <w:szCs w:val="20"/>
    </w:rPr>
  </w:style>
  <w:style w:type="character" w:customStyle="1" w:styleId="CommentTextChar">
    <w:name w:val="Comment Text Char"/>
    <w:basedOn w:val="DefaultParagraphFont"/>
    <w:link w:val="CommentText"/>
    <w:uiPriority w:val="99"/>
    <w:semiHidden/>
    <w:rsid w:val="00157F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7FFA"/>
    <w:rPr>
      <w:b/>
      <w:bCs/>
    </w:rPr>
  </w:style>
  <w:style w:type="character" w:customStyle="1" w:styleId="CommentSubjectChar">
    <w:name w:val="Comment Subject Char"/>
    <w:basedOn w:val="CommentTextChar"/>
    <w:link w:val="CommentSubject"/>
    <w:uiPriority w:val="99"/>
    <w:semiHidden/>
    <w:rsid w:val="00157FFA"/>
    <w:rPr>
      <w:rFonts w:ascii="Times New Roman" w:hAnsi="Times New Roman"/>
      <w:b/>
      <w:bCs/>
      <w:sz w:val="20"/>
      <w:szCs w:val="20"/>
    </w:rPr>
  </w:style>
  <w:style w:type="paragraph" w:styleId="BalloonText">
    <w:name w:val="Balloon Text"/>
    <w:basedOn w:val="Normal"/>
    <w:link w:val="BalloonTextChar"/>
    <w:uiPriority w:val="99"/>
    <w:semiHidden/>
    <w:unhideWhenUsed/>
    <w:rsid w:val="0015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FA"/>
    <w:rPr>
      <w:rFonts w:ascii="Segoe UI" w:hAnsi="Segoe UI" w:cs="Segoe UI"/>
      <w:sz w:val="18"/>
      <w:szCs w:val="18"/>
    </w:rPr>
  </w:style>
  <w:style w:type="character" w:styleId="Hyperlink">
    <w:name w:val="Hyperlink"/>
    <w:basedOn w:val="DefaultParagraphFont"/>
    <w:uiPriority w:val="99"/>
    <w:unhideWhenUsed/>
    <w:rsid w:val="00DF2B2A"/>
    <w:rPr>
      <w:color w:val="0563C1" w:themeColor="hyperlink"/>
      <w:u w:val="single"/>
    </w:rPr>
  </w:style>
  <w:style w:type="paragraph" w:styleId="NormalWeb">
    <w:name w:val="Normal (Web)"/>
    <w:basedOn w:val="Normal"/>
    <w:uiPriority w:val="99"/>
    <w:semiHidden/>
    <w:unhideWhenUsed/>
    <w:rsid w:val="0062242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2242F"/>
    <w:rPr>
      <w:b/>
      <w:bCs/>
    </w:rPr>
  </w:style>
  <w:style w:type="paragraph" w:styleId="Header">
    <w:name w:val="header"/>
    <w:basedOn w:val="Normal"/>
    <w:link w:val="HeaderChar"/>
    <w:uiPriority w:val="99"/>
    <w:unhideWhenUsed/>
    <w:rsid w:val="00FD5809"/>
    <w:pPr>
      <w:tabs>
        <w:tab w:val="center" w:pos="4680"/>
        <w:tab w:val="right" w:pos="9360"/>
      </w:tabs>
    </w:pPr>
  </w:style>
  <w:style w:type="character" w:customStyle="1" w:styleId="HeaderChar">
    <w:name w:val="Header Char"/>
    <w:basedOn w:val="DefaultParagraphFont"/>
    <w:link w:val="Header"/>
    <w:uiPriority w:val="99"/>
    <w:rsid w:val="00FD5809"/>
    <w:rPr>
      <w:rFonts w:ascii="Times New Roman" w:hAnsi="Times New Roman"/>
      <w:sz w:val="24"/>
    </w:rPr>
  </w:style>
  <w:style w:type="paragraph" w:styleId="Footer">
    <w:name w:val="footer"/>
    <w:basedOn w:val="Normal"/>
    <w:link w:val="FooterChar"/>
    <w:uiPriority w:val="99"/>
    <w:unhideWhenUsed/>
    <w:rsid w:val="00FD5809"/>
    <w:pPr>
      <w:tabs>
        <w:tab w:val="center" w:pos="4680"/>
        <w:tab w:val="right" w:pos="9360"/>
      </w:tabs>
    </w:pPr>
  </w:style>
  <w:style w:type="character" w:customStyle="1" w:styleId="FooterChar">
    <w:name w:val="Footer Char"/>
    <w:basedOn w:val="DefaultParagraphFont"/>
    <w:link w:val="Footer"/>
    <w:uiPriority w:val="99"/>
    <w:rsid w:val="00FD5809"/>
    <w:rPr>
      <w:rFonts w:ascii="Times New Roman" w:hAnsi="Times New Roman"/>
      <w:sz w:val="24"/>
    </w:rPr>
  </w:style>
  <w:style w:type="character" w:customStyle="1" w:styleId="UnresolvedMention1">
    <w:name w:val="Unresolved Mention1"/>
    <w:basedOn w:val="DefaultParagraphFont"/>
    <w:uiPriority w:val="99"/>
    <w:semiHidden/>
    <w:unhideWhenUsed/>
    <w:rsid w:val="00FD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gina.iorii@delaware.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514C-F5CE-B24B-BA7E-391E5125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17226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Iorii, Regina (DOS)</dc:creator>
  <cp:keywords/>
  <dc:description/>
  <cp:lastModifiedBy>Andrew Slater</cp:lastModifiedBy>
  <cp:revision>2</cp:revision>
  <dcterms:created xsi:type="dcterms:W3CDTF">2020-05-06T12:25:00Z</dcterms:created>
  <dcterms:modified xsi:type="dcterms:W3CDTF">2020-05-06T12:25:00Z</dcterms:modified>
</cp:coreProperties>
</file>