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E8" w:rsidRPr="006E5B0D" w:rsidRDefault="004277EF" w:rsidP="00857B22">
      <w:pPr>
        <w:pStyle w:val="NoSpacing"/>
        <w:suppressLineNumbers/>
        <w:jc w:val="center"/>
        <w:rPr>
          <w:rFonts w:cs="Times New Roman"/>
          <w:b/>
          <w:szCs w:val="24"/>
        </w:rPr>
      </w:pPr>
      <w:bookmarkStart w:id="0" w:name="_GoBack"/>
      <w:bookmarkEnd w:id="0"/>
      <w:r w:rsidRPr="006E5B0D">
        <w:rPr>
          <w:rFonts w:cs="Times New Roman"/>
          <w:b/>
          <w:szCs w:val="24"/>
        </w:rPr>
        <w:t>NATIONAL ASSOCIATION OF STATE UTILITY CONSUMER ADVOCATES</w:t>
      </w:r>
    </w:p>
    <w:p w:rsidR="006E5B0D" w:rsidRPr="006E5B0D" w:rsidRDefault="006E5B0D" w:rsidP="00857B22">
      <w:pPr>
        <w:pStyle w:val="NoSpacing"/>
        <w:suppressLineNumbers/>
        <w:rPr>
          <w:rFonts w:cs="Times New Roman"/>
          <w:szCs w:val="24"/>
        </w:rPr>
      </w:pPr>
    </w:p>
    <w:p w:rsidR="004277EF" w:rsidRPr="006E5B0D" w:rsidRDefault="004277EF" w:rsidP="00857B22">
      <w:pPr>
        <w:suppressLineNumbers/>
        <w:spacing w:after="240" w:line="240" w:lineRule="auto"/>
        <w:jc w:val="center"/>
        <w:rPr>
          <w:rFonts w:cs="Times New Roman"/>
          <w:b/>
          <w:szCs w:val="24"/>
        </w:rPr>
      </w:pPr>
      <w:r w:rsidRPr="006E5B0D">
        <w:rPr>
          <w:rFonts w:cs="Times New Roman"/>
          <w:b/>
          <w:szCs w:val="24"/>
        </w:rPr>
        <w:t>R</w:t>
      </w:r>
      <w:r w:rsidR="006E5B0D">
        <w:rPr>
          <w:rFonts w:cs="Times New Roman"/>
          <w:b/>
          <w:szCs w:val="24"/>
        </w:rPr>
        <w:t>esolution</w:t>
      </w:r>
      <w:r w:rsidRPr="006E5B0D">
        <w:rPr>
          <w:rFonts w:cs="Times New Roman"/>
          <w:b/>
          <w:szCs w:val="24"/>
        </w:rPr>
        <w:t xml:space="preserve"> 2014</w:t>
      </w:r>
      <w:r w:rsidR="006E5B0D">
        <w:rPr>
          <w:rFonts w:cs="Times New Roman"/>
          <w:b/>
          <w:szCs w:val="24"/>
        </w:rPr>
        <w:t>-</w:t>
      </w:r>
      <w:r w:rsidR="0022380A">
        <w:rPr>
          <w:rFonts w:cs="Times New Roman"/>
          <w:b/>
          <w:szCs w:val="24"/>
        </w:rPr>
        <w:t>1</w:t>
      </w:r>
    </w:p>
    <w:p w:rsidR="006E5B0D" w:rsidRDefault="004277EF" w:rsidP="00857B22">
      <w:pPr>
        <w:spacing w:after="240" w:line="240" w:lineRule="auto"/>
        <w:jc w:val="center"/>
        <w:rPr>
          <w:rFonts w:cs="Times New Roman"/>
          <w:b/>
          <w:szCs w:val="24"/>
        </w:rPr>
      </w:pPr>
      <w:r w:rsidRPr="006E5B0D">
        <w:rPr>
          <w:rFonts w:cs="Times New Roman"/>
          <w:b/>
          <w:szCs w:val="24"/>
        </w:rPr>
        <w:t>U</w:t>
      </w:r>
      <w:r w:rsidR="006E5B0D">
        <w:rPr>
          <w:rFonts w:cs="Times New Roman"/>
          <w:b/>
          <w:szCs w:val="24"/>
        </w:rPr>
        <w:t>rging the Adoption of State Laws and Regulations to Provide Better Consumer Protections for Retail Energy Customers Who Are Being Solicited, or Have Entered into Agreements, for Variable Rate Contracts with Competitive Energy Suppliers</w:t>
      </w:r>
    </w:p>
    <w:p w:rsidR="005B04B4" w:rsidRPr="006E5B0D" w:rsidRDefault="004277EF" w:rsidP="00857B22">
      <w:pPr>
        <w:spacing w:after="240" w:line="240" w:lineRule="auto"/>
        <w:rPr>
          <w:rFonts w:cs="Times New Roman"/>
          <w:szCs w:val="24"/>
        </w:rPr>
      </w:pPr>
      <w:r w:rsidRPr="006E5B0D">
        <w:rPr>
          <w:rFonts w:cs="Times New Roman"/>
          <w:b/>
          <w:i/>
          <w:szCs w:val="24"/>
        </w:rPr>
        <w:t xml:space="preserve">Whereas, </w:t>
      </w:r>
      <w:r w:rsidRPr="006E5B0D">
        <w:rPr>
          <w:rFonts w:cs="Times New Roman"/>
          <w:szCs w:val="24"/>
        </w:rPr>
        <w:t>the markets for electricity and natural gas have been open to retail competition in numerous states for nearly two decades; and</w:t>
      </w:r>
    </w:p>
    <w:p w:rsidR="004277EF" w:rsidRPr="006E5B0D" w:rsidRDefault="004277EF"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public utility commissions do not approve the price or rate offers of retail competitive suppliers</w:t>
      </w:r>
      <w:r w:rsidR="005B04B4" w:rsidRPr="006E5B0D">
        <w:rPr>
          <w:rFonts w:cs="Times New Roman"/>
          <w:szCs w:val="24"/>
        </w:rPr>
        <w:t>; and</w:t>
      </w:r>
    </w:p>
    <w:p w:rsidR="004277EF" w:rsidRPr="006E5B0D" w:rsidRDefault="004277EF"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in most retail competition states, competitive energy suppliers are subject to </w:t>
      </w:r>
      <w:r w:rsidR="005B04B4" w:rsidRPr="006E5B0D">
        <w:rPr>
          <w:rFonts w:cs="Times New Roman"/>
          <w:szCs w:val="24"/>
        </w:rPr>
        <w:t>certain marketing, solicitation</w:t>
      </w:r>
      <w:r w:rsidR="0034354F" w:rsidRPr="006E5B0D">
        <w:rPr>
          <w:rFonts w:cs="Times New Roman"/>
          <w:szCs w:val="24"/>
        </w:rPr>
        <w:t>, disclosure,</w:t>
      </w:r>
      <w:r w:rsidR="005B04B4" w:rsidRPr="006E5B0D">
        <w:rPr>
          <w:rFonts w:cs="Times New Roman"/>
          <w:szCs w:val="24"/>
        </w:rPr>
        <w:t xml:space="preserve"> and contracting rules established by the state public utility commission’s orders and regulations or by state law; and</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while state public utility commissions’ laws and regulations share some similar features, they are not uniform; and </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some but not all retail competition states, competitive energy suppliers also are subject to that state</w:t>
      </w:r>
      <w:r w:rsidR="0034354F" w:rsidRPr="006E5B0D">
        <w:rPr>
          <w:rFonts w:cs="Times New Roman"/>
          <w:szCs w:val="24"/>
        </w:rPr>
        <w:t xml:space="preserve">’s </w:t>
      </w:r>
      <w:r w:rsidR="00DE08CB" w:rsidRPr="006E5B0D">
        <w:rPr>
          <w:rFonts w:cs="Times New Roman"/>
          <w:szCs w:val="24"/>
        </w:rPr>
        <w:t>statutes and policies against u</w:t>
      </w:r>
      <w:r w:rsidR="00452F80" w:rsidRPr="006E5B0D">
        <w:rPr>
          <w:rFonts w:cs="Times New Roman"/>
          <w:szCs w:val="24"/>
        </w:rPr>
        <w:t xml:space="preserve">nfair and </w:t>
      </w:r>
      <w:r w:rsidR="00DE08CB" w:rsidRPr="006E5B0D">
        <w:rPr>
          <w:rFonts w:cs="Times New Roman"/>
          <w:szCs w:val="24"/>
        </w:rPr>
        <w:t>d</w:t>
      </w:r>
      <w:r w:rsidR="00452F80" w:rsidRPr="006E5B0D">
        <w:rPr>
          <w:rFonts w:cs="Times New Roman"/>
          <w:szCs w:val="24"/>
        </w:rPr>
        <w:t xml:space="preserve">eceptive </w:t>
      </w:r>
      <w:r w:rsidR="00DE08CB" w:rsidRPr="006E5B0D">
        <w:rPr>
          <w:rFonts w:cs="Times New Roman"/>
          <w:szCs w:val="24"/>
        </w:rPr>
        <w:t>trade practices</w:t>
      </w:r>
      <w:r w:rsidR="00452F80" w:rsidRPr="006E5B0D">
        <w:rPr>
          <w:rFonts w:cs="Times New Roman"/>
          <w:szCs w:val="24"/>
        </w:rPr>
        <w:t>; and</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response to concerns about certain marketing, </w:t>
      </w:r>
      <w:r w:rsidR="0034354F" w:rsidRPr="006E5B0D">
        <w:rPr>
          <w:rFonts w:cs="Times New Roman"/>
          <w:szCs w:val="24"/>
        </w:rPr>
        <w:t xml:space="preserve">disclosure, </w:t>
      </w:r>
      <w:r w:rsidRPr="006E5B0D">
        <w:rPr>
          <w:rFonts w:cs="Times New Roman"/>
          <w:szCs w:val="24"/>
        </w:rPr>
        <w:t xml:space="preserve">solicitation and contracting practices of competitive energy suppliers, NASUCA adopted Resolution 2012-4 on June 25, 2012 to urge the adoption of state laws and regulations designed to promote honesty and clarity in marketing practices, and to assist consumers in selecting an appropriate competitive energy supplier, if interested in doing so; and </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Resolution 2012-4 stated generally that “retail energy providers should be required to disclose the price of energy supply,”</w:t>
      </w:r>
      <w:r w:rsidR="00E344E8" w:rsidRPr="006E5B0D">
        <w:rPr>
          <w:rFonts w:cs="Times New Roman"/>
          <w:szCs w:val="24"/>
        </w:rPr>
        <w:t xml:space="preserve"> and that “regulators should require uniform disclosure of prices and terms by retail energy providers;” and </w:t>
      </w:r>
    </w:p>
    <w:p w:rsidR="00E344E8" w:rsidRPr="006E5B0D" w:rsidRDefault="00E344E8" w:rsidP="00857B22">
      <w:pPr>
        <w:spacing w:after="240" w:line="240" w:lineRule="auto"/>
        <w:rPr>
          <w:rFonts w:cs="Times New Roman"/>
          <w:szCs w:val="24"/>
        </w:rPr>
      </w:pPr>
      <w:r w:rsidRPr="003B3E0C">
        <w:rPr>
          <w:rFonts w:cs="Times New Roman"/>
          <w:b/>
          <w:i/>
          <w:szCs w:val="24"/>
        </w:rPr>
        <w:t>Whereas</w:t>
      </w:r>
      <w:r w:rsidR="00AA7478" w:rsidRPr="006E5B0D">
        <w:rPr>
          <w:rFonts w:cs="Times New Roman"/>
          <w:b/>
          <w:szCs w:val="24"/>
        </w:rPr>
        <w:t>,</w:t>
      </w:r>
      <w:r w:rsidRPr="006E5B0D">
        <w:rPr>
          <w:rFonts w:cs="Times New Roman"/>
          <w:b/>
          <w:szCs w:val="24"/>
        </w:rPr>
        <w:t xml:space="preserve"> </w:t>
      </w:r>
      <w:r w:rsidR="000050C2" w:rsidRPr="003B3E0C">
        <w:rPr>
          <w:rFonts w:cs="Times New Roman"/>
          <w:szCs w:val="24"/>
        </w:rPr>
        <w:t>since the adoption</w:t>
      </w:r>
      <w:r w:rsidR="000050C2" w:rsidRPr="006E5B0D">
        <w:rPr>
          <w:rFonts w:cs="Times New Roman"/>
          <w:b/>
          <w:szCs w:val="24"/>
        </w:rPr>
        <w:t xml:space="preserve"> of </w:t>
      </w:r>
      <w:r w:rsidRPr="006E5B0D">
        <w:rPr>
          <w:rFonts w:cs="Times New Roman"/>
          <w:szCs w:val="24"/>
        </w:rPr>
        <w:t>Resolution 2012-4</w:t>
      </w:r>
      <w:r w:rsidR="000050C2" w:rsidRPr="006E5B0D">
        <w:rPr>
          <w:rFonts w:cs="Times New Roman"/>
          <w:szCs w:val="24"/>
        </w:rPr>
        <w:t xml:space="preserve">, </w:t>
      </w:r>
      <w:r w:rsidR="0034354F" w:rsidRPr="006E5B0D">
        <w:rPr>
          <w:rFonts w:cs="Times New Roman"/>
          <w:szCs w:val="24"/>
        </w:rPr>
        <w:t xml:space="preserve">there has been a significant increase in the number of </w:t>
      </w:r>
      <w:r w:rsidR="000050C2" w:rsidRPr="006E5B0D">
        <w:rPr>
          <w:rFonts w:cs="Times New Roman"/>
          <w:szCs w:val="24"/>
        </w:rPr>
        <w:t xml:space="preserve">competitive energy suppliers </w:t>
      </w:r>
      <w:r w:rsidR="0034354F" w:rsidRPr="006E5B0D">
        <w:rPr>
          <w:rFonts w:cs="Times New Roman"/>
          <w:szCs w:val="24"/>
        </w:rPr>
        <w:t xml:space="preserve">that </w:t>
      </w:r>
      <w:r w:rsidR="00B20445" w:rsidRPr="006E5B0D">
        <w:rPr>
          <w:rFonts w:cs="Times New Roman"/>
          <w:szCs w:val="24"/>
        </w:rPr>
        <w:t xml:space="preserve">have </w:t>
      </w:r>
      <w:r w:rsidR="000050C2" w:rsidRPr="006E5B0D">
        <w:rPr>
          <w:rFonts w:cs="Times New Roman"/>
          <w:szCs w:val="24"/>
        </w:rPr>
        <w:t xml:space="preserve">implemented market strategies that include, </w:t>
      </w:r>
      <w:r w:rsidR="000050C2" w:rsidRPr="003B3E0C">
        <w:rPr>
          <w:rFonts w:cs="Times New Roman"/>
          <w:i/>
          <w:szCs w:val="24"/>
        </w:rPr>
        <w:t>inter alia</w:t>
      </w:r>
      <w:r w:rsidR="000050C2" w:rsidRPr="006E5B0D">
        <w:rPr>
          <w:rFonts w:cs="Times New Roman"/>
          <w:szCs w:val="24"/>
        </w:rPr>
        <w:t xml:space="preserve">, </w:t>
      </w:r>
      <w:r w:rsidR="0034354F" w:rsidRPr="006E5B0D">
        <w:rPr>
          <w:rFonts w:cs="Times New Roman"/>
          <w:szCs w:val="24"/>
        </w:rPr>
        <w:t xml:space="preserve">short-term promotional discounts </w:t>
      </w:r>
      <w:r w:rsidR="00B20445" w:rsidRPr="006E5B0D">
        <w:rPr>
          <w:rFonts w:cs="Times New Roman"/>
          <w:szCs w:val="24"/>
        </w:rPr>
        <w:t xml:space="preserve">or fixed prices followed by </w:t>
      </w:r>
      <w:r w:rsidR="000050C2" w:rsidRPr="006E5B0D">
        <w:rPr>
          <w:rFonts w:cs="Times New Roman"/>
          <w:szCs w:val="24"/>
        </w:rPr>
        <w:t>“variable rate” contracts</w:t>
      </w:r>
      <w:r w:rsidR="00434EB3" w:rsidRPr="006E5B0D">
        <w:rPr>
          <w:rFonts w:cs="Times New Roman"/>
          <w:szCs w:val="24"/>
        </w:rPr>
        <w:t xml:space="preserve"> for residential and other consumers;</w:t>
      </w:r>
      <w:r w:rsidRPr="006E5B0D">
        <w:rPr>
          <w:rFonts w:cs="Times New Roman"/>
          <w:szCs w:val="24"/>
        </w:rPr>
        <w:t xml:space="preserve"> </w:t>
      </w:r>
      <w:r w:rsidR="003B3E0C">
        <w:rPr>
          <w:rFonts w:cs="Times New Roman"/>
          <w:szCs w:val="24"/>
        </w:rPr>
        <w:t>and</w:t>
      </w:r>
    </w:p>
    <w:p w:rsidR="00E344E8" w:rsidRPr="006E5B0D" w:rsidRDefault="000050C2"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competitive energy suppliers </w:t>
      </w:r>
      <w:r w:rsidR="00FD489F" w:rsidRPr="006E5B0D">
        <w:rPr>
          <w:rFonts w:cs="Times New Roman"/>
          <w:szCs w:val="24"/>
        </w:rPr>
        <w:t xml:space="preserve">have </w:t>
      </w:r>
      <w:r w:rsidRPr="006E5B0D">
        <w:rPr>
          <w:rFonts w:cs="Times New Roman"/>
          <w:szCs w:val="24"/>
        </w:rPr>
        <w:t>describe</w:t>
      </w:r>
      <w:r w:rsidR="00FD489F" w:rsidRPr="006E5B0D">
        <w:rPr>
          <w:rFonts w:cs="Times New Roman"/>
          <w:szCs w:val="24"/>
        </w:rPr>
        <w:t>d</w:t>
      </w:r>
      <w:r w:rsidRPr="006E5B0D">
        <w:rPr>
          <w:rFonts w:cs="Times New Roman"/>
          <w:szCs w:val="24"/>
        </w:rPr>
        <w:t xml:space="preserve"> or define</w:t>
      </w:r>
      <w:r w:rsidR="00FD489F" w:rsidRPr="006E5B0D">
        <w:rPr>
          <w:rFonts w:cs="Times New Roman"/>
          <w:szCs w:val="24"/>
        </w:rPr>
        <w:t>d</w:t>
      </w:r>
      <w:r w:rsidRPr="006E5B0D">
        <w:rPr>
          <w:rFonts w:cs="Times New Roman"/>
          <w:szCs w:val="24"/>
        </w:rPr>
        <w:t xml:space="preserve"> variable rate offers or contract terms in a variety of ways</w:t>
      </w:r>
      <w:r w:rsidR="001A0466" w:rsidRPr="006E5B0D">
        <w:rPr>
          <w:rFonts w:cs="Times New Roman"/>
          <w:szCs w:val="24"/>
        </w:rPr>
        <w:t>, including</w:t>
      </w:r>
      <w:r w:rsidR="008C480A" w:rsidRPr="006E5B0D">
        <w:rPr>
          <w:rFonts w:cs="Times New Roman"/>
          <w:szCs w:val="24"/>
        </w:rPr>
        <w:t xml:space="preserve"> statements such as:</w:t>
      </w:r>
    </w:p>
    <w:p w:rsidR="008C480A" w:rsidRPr="006E5B0D" w:rsidRDefault="008C480A" w:rsidP="00857B22">
      <w:pPr>
        <w:spacing w:after="240" w:line="240" w:lineRule="auto"/>
        <w:rPr>
          <w:rFonts w:cs="Times New Roman"/>
          <w:szCs w:val="24"/>
        </w:rPr>
      </w:pPr>
      <w:r w:rsidRPr="006E5B0D">
        <w:rPr>
          <w:rFonts w:cs="Times New Roman"/>
          <w:szCs w:val="24"/>
        </w:rPr>
        <w:tab/>
      </w:r>
      <w:r w:rsidR="00B4317B" w:rsidRPr="006E5B0D">
        <w:rPr>
          <w:rFonts w:cs="Times New Roman"/>
          <w:szCs w:val="24"/>
        </w:rPr>
        <w:t>“</w:t>
      </w:r>
      <w:r w:rsidRPr="006E5B0D">
        <w:rPr>
          <w:rFonts w:cs="Times New Roman"/>
          <w:szCs w:val="24"/>
        </w:rPr>
        <w:t>Rates are subject to change without notice</w:t>
      </w:r>
      <w:r w:rsidR="00B4317B" w:rsidRPr="006E5B0D">
        <w:rPr>
          <w:rFonts w:cs="Times New Roman"/>
          <w:szCs w:val="24"/>
        </w:rPr>
        <w:t>”</w:t>
      </w:r>
    </w:p>
    <w:p w:rsidR="008C480A" w:rsidRPr="006E5B0D" w:rsidRDefault="00B4317B" w:rsidP="00857B22">
      <w:pPr>
        <w:spacing w:after="240" w:line="240" w:lineRule="auto"/>
        <w:ind w:left="720"/>
        <w:rPr>
          <w:rFonts w:cs="Times New Roman"/>
          <w:szCs w:val="24"/>
        </w:rPr>
      </w:pPr>
      <w:r w:rsidRPr="006E5B0D">
        <w:rPr>
          <w:rFonts w:cs="Times New Roman"/>
          <w:szCs w:val="24"/>
        </w:rPr>
        <w:t>“</w:t>
      </w:r>
      <w:r w:rsidR="008C480A" w:rsidRPr="006E5B0D">
        <w:rPr>
          <w:rFonts w:cs="Times New Roman"/>
          <w:szCs w:val="24"/>
        </w:rPr>
        <w:t xml:space="preserve">Rates may change due to current and predicted weather patterns, retail competition, fluctuations in energy supply and demand, industry </w:t>
      </w:r>
      <w:r w:rsidRPr="006E5B0D">
        <w:rPr>
          <w:rFonts w:cs="Times New Roman"/>
          <w:szCs w:val="24"/>
        </w:rPr>
        <w:t>regulations, pricing strategies”</w:t>
      </w:r>
      <w:r w:rsidR="008C480A" w:rsidRPr="006E5B0D">
        <w:rPr>
          <w:rFonts w:cs="Times New Roman"/>
          <w:szCs w:val="24"/>
        </w:rPr>
        <w:t xml:space="preserve"> </w:t>
      </w:r>
    </w:p>
    <w:p w:rsidR="008C480A" w:rsidRPr="006E5B0D" w:rsidRDefault="00B4317B" w:rsidP="00857B22">
      <w:pPr>
        <w:spacing w:after="240" w:line="240" w:lineRule="auto"/>
        <w:ind w:left="720"/>
        <w:rPr>
          <w:rFonts w:cs="Times New Roman"/>
          <w:szCs w:val="24"/>
        </w:rPr>
      </w:pPr>
      <w:r w:rsidRPr="006E5B0D">
        <w:rPr>
          <w:rFonts w:cs="Times New Roman"/>
          <w:szCs w:val="24"/>
        </w:rPr>
        <w:lastRenderedPageBreak/>
        <w:t>“</w:t>
      </w:r>
      <w:r w:rsidR="008C480A" w:rsidRPr="006E5B0D">
        <w:rPr>
          <w:rFonts w:cs="Times New Roman"/>
          <w:szCs w:val="24"/>
        </w:rPr>
        <w:t>Rates may change based on an evaluation of a number of factors, including applicable fees, charges, costs and expenses; expected margins; competitive prices and other market and business conditions</w:t>
      </w:r>
      <w:r w:rsidRPr="006E5B0D">
        <w:rPr>
          <w:rFonts w:cs="Times New Roman"/>
          <w:szCs w:val="24"/>
        </w:rPr>
        <w:t>”</w:t>
      </w:r>
    </w:p>
    <w:p w:rsidR="008C480A" w:rsidRPr="006E5B0D" w:rsidRDefault="00B4317B" w:rsidP="00857B22">
      <w:pPr>
        <w:spacing w:after="240" w:line="240" w:lineRule="auto"/>
        <w:ind w:left="720"/>
        <w:rPr>
          <w:rFonts w:cs="Times New Roman"/>
          <w:szCs w:val="24"/>
        </w:rPr>
      </w:pPr>
      <w:r w:rsidRPr="006E5B0D">
        <w:rPr>
          <w:rFonts w:cs="Times New Roman"/>
          <w:szCs w:val="24"/>
        </w:rPr>
        <w:t>“</w:t>
      </w:r>
      <w:r w:rsidR="008C480A" w:rsidRPr="006E5B0D">
        <w:rPr>
          <w:rFonts w:cs="Times New Roman"/>
          <w:szCs w:val="24"/>
        </w:rPr>
        <w:t xml:space="preserve">Rates may reflect the cost of buying your electricity supplies in the regional wholesale </w:t>
      </w:r>
      <w:r w:rsidRPr="006E5B0D">
        <w:rPr>
          <w:rFonts w:cs="Times New Roman"/>
          <w:szCs w:val="24"/>
        </w:rPr>
        <w:t>electricity markets”</w:t>
      </w:r>
    </w:p>
    <w:p w:rsidR="008C480A" w:rsidRPr="006E5B0D" w:rsidRDefault="008C480A" w:rsidP="00857B22">
      <w:pPr>
        <w:spacing w:after="240" w:line="240" w:lineRule="auto"/>
        <w:rPr>
          <w:rFonts w:cs="Times New Roman"/>
          <w:szCs w:val="24"/>
        </w:rPr>
      </w:pPr>
      <w:r w:rsidRPr="006E5B0D">
        <w:rPr>
          <w:rFonts w:cs="Times New Roman"/>
          <w:szCs w:val="24"/>
        </w:rPr>
        <w:tab/>
      </w:r>
      <w:r w:rsidR="00B4317B" w:rsidRPr="006E5B0D">
        <w:rPr>
          <w:rFonts w:cs="Times New Roman"/>
          <w:szCs w:val="24"/>
        </w:rPr>
        <w:t>“</w:t>
      </w:r>
      <w:r w:rsidRPr="006E5B0D">
        <w:rPr>
          <w:rFonts w:cs="Times New Roman"/>
          <w:szCs w:val="24"/>
        </w:rPr>
        <w:t>Rates may vary according to market conditions</w:t>
      </w:r>
      <w:r w:rsidR="00B4317B" w:rsidRPr="006E5B0D">
        <w:rPr>
          <w:rFonts w:cs="Times New Roman"/>
          <w:szCs w:val="24"/>
        </w:rPr>
        <w:t>”</w:t>
      </w:r>
    </w:p>
    <w:p w:rsidR="008C480A" w:rsidRPr="006E5B0D" w:rsidRDefault="008C480A" w:rsidP="00857B22">
      <w:pPr>
        <w:spacing w:after="240" w:line="240" w:lineRule="auto"/>
        <w:rPr>
          <w:rFonts w:cs="Times New Roman"/>
          <w:szCs w:val="24"/>
        </w:rPr>
      </w:pPr>
      <w:r w:rsidRPr="006E5B0D">
        <w:rPr>
          <w:rFonts w:cs="Times New Roman"/>
          <w:szCs w:val="24"/>
        </w:rPr>
        <w:tab/>
      </w:r>
      <w:r w:rsidR="00B4317B" w:rsidRPr="006E5B0D">
        <w:rPr>
          <w:rFonts w:cs="Times New Roman"/>
          <w:szCs w:val="24"/>
        </w:rPr>
        <w:t>“</w:t>
      </w:r>
      <w:r w:rsidRPr="006E5B0D">
        <w:rPr>
          <w:rFonts w:cs="Times New Roman"/>
          <w:szCs w:val="24"/>
        </w:rPr>
        <w:t>Price may fluctuate and change at the sole discretion of supplier</w:t>
      </w:r>
      <w:r w:rsidR="00B4317B" w:rsidRPr="006E5B0D">
        <w:rPr>
          <w:rFonts w:cs="Times New Roman"/>
          <w:szCs w:val="24"/>
        </w:rPr>
        <w:t>;”</w:t>
      </w:r>
    </w:p>
    <w:p w:rsidR="00B4317B" w:rsidRPr="006E5B0D" w:rsidRDefault="00B4317B" w:rsidP="00857B22">
      <w:pPr>
        <w:spacing w:after="240" w:line="240" w:lineRule="auto"/>
        <w:rPr>
          <w:rFonts w:cs="Times New Roman"/>
          <w:szCs w:val="24"/>
        </w:rPr>
      </w:pPr>
      <w:r w:rsidRPr="006E5B0D">
        <w:rPr>
          <w:rFonts w:cs="Times New Roman"/>
          <w:szCs w:val="24"/>
        </w:rPr>
        <w:t>and</w:t>
      </w:r>
    </w:p>
    <w:p w:rsidR="00B4317B" w:rsidRPr="006E5B0D" w:rsidRDefault="00FD489F"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variable rate offers and contract terms frequently do not state any methodology, method of calculation or index that can be used by a consumer to determine how the variable rate is calculated;</w:t>
      </w:r>
      <w:r w:rsidR="00B4317B" w:rsidRPr="006E5B0D">
        <w:rPr>
          <w:rFonts w:cs="Times New Roman"/>
          <w:szCs w:val="24"/>
        </w:rPr>
        <w:t xml:space="preserve"> and</w:t>
      </w:r>
    </w:p>
    <w:p w:rsidR="00853C44" w:rsidRPr="006E5B0D" w:rsidRDefault="00FD489F" w:rsidP="00857B22">
      <w:pPr>
        <w:spacing w:after="240" w:line="240" w:lineRule="auto"/>
        <w:rPr>
          <w:rFonts w:cs="Times New Roman"/>
          <w:szCs w:val="24"/>
        </w:rPr>
      </w:pPr>
      <w:r w:rsidRPr="003B3E0C">
        <w:rPr>
          <w:rFonts w:cs="Times New Roman"/>
          <w:b/>
          <w:i/>
          <w:szCs w:val="24"/>
        </w:rPr>
        <w:t>Whereas</w:t>
      </w:r>
      <w:r w:rsidR="003B3E0C">
        <w:rPr>
          <w:rFonts w:cs="Times New Roman"/>
          <w:szCs w:val="24"/>
        </w:rPr>
        <w:t>,</w:t>
      </w:r>
      <w:r w:rsidR="00853C44" w:rsidRPr="006E5B0D">
        <w:rPr>
          <w:rFonts w:cs="Times New Roman"/>
          <w:szCs w:val="24"/>
        </w:rPr>
        <w:t xml:space="preserve"> </w:t>
      </w:r>
      <w:r w:rsidRPr="006E5B0D">
        <w:rPr>
          <w:rFonts w:cs="Times New Roman"/>
          <w:szCs w:val="24"/>
        </w:rPr>
        <w:t xml:space="preserve"> competitive energy suppliers use variable rate terms in the following ways: </w:t>
      </w:r>
      <w:r w:rsidR="00853C44" w:rsidRPr="006E5B0D">
        <w:rPr>
          <w:rFonts w:cs="Times New Roman"/>
          <w:szCs w:val="24"/>
        </w:rPr>
        <w:t xml:space="preserve">(1)  </w:t>
      </w:r>
      <w:r w:rsidRPr="006E5B0D">
        <w:rPr>
          <w:rFonts w:cs="Times New Roman"/>
          <w:szCs w:val="24"/>
        </w:rPr>
        <w:t xml:space="preserve">beginning </w:t>
      </w:r>
      <w:r w:rsidR="00853C44" w:rsidRPr="006E5B0D">
        <w:rPr>
          <w:rFonts w:cs="Times New Roman"/>
          <w:szCs w:val="24"/>
        </w:rPr>
        <w:t>with the first month, (2) after the conclusion of the term of an initial or introductory fixed rate term; or (3) upon the automatic renewal of a contract</w:t>
      </w:r>
      <w:r w:rsidRPr="006E5B0D">
        <w:rPr>
          <w:rFonts w:cs="Times New Roman"/>
          <w:szCs w:val="24"/>
        </w:rPr>
        <w:t xml:space="preserv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in most states, there are no provisions for an upper limit or cap, or range of variation</w:t>
      </w:r>
      <w:r w:rsidR="00DE08CB" w:rsidRPr="006E5B0D">
        <w:rPr>
          <w:rFonts w:cs="Times New Roman"/>
          <w:szCs w:val="24"/>
        </w:rPr>
        <w:t>,</w:t>
      </w:r>
      <w:r w:rsidRPr="006E5B0D">
        <w:rPr>
          <w:rFonts w:cs="Times New Roman"/>
          <w:szCs w:val="24"/>
        </w:rPr>
        <w:t xml:space="preserve"> for the variable rate;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variable rate contracts can be month</w:t>
      </w:r>
      <w:r w:rsidR="00D0692A" w:rsidRPr="006E5B0D">
        <w:rPr>
          <w:rFonts w:cs="Times New Roman"/>
          <w:szCs w:val="24"/>
        </w:rPr>
        <w:t>-</w:t>
      </w:r>
      <w:r w:rsidRPr="006E5B0D">
        <w:rPr>
          <w:rFonts w:cs="Times New Roman"/>
          <w:szCs w:val="24"/>
        </w:rPr>
        <w:t>to</w:t>
      </w:r>
      <w:r w:rsidR="00D0692A" w:rsidRPr="006E5B0D">
        <w:rPr>
          <w:rFonts w:cs="Times New Roman"/>
          <w:szCs w:val="24"/>
        </w:rPr>
        <w:t>-</w:t>
      </w:r>
      <w:r w:rsidRPr="006E5B0D">
        <w:rPr>
          <w:rFonts w:cs="Times New Roman"/>
          <w:szCs w:val="24"/>
        </w:rPr>
        <w:t>month contracts, or fixed term contracts; and</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variable rate contracts frequently require a customer to provide notice of cancellation in a timeframe and form specified in the contract;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customers who attempt to terminate a contract without providing notice in the time frame or form </w:t>
      </w:r>
      <w:r w:rsidR="003B3E0C">
        <w:rPr>
          <w:rFonts w:cs="Times New Roman"/>
          <w:szCs w:val="24"/>
        </w:rPr>
        <w:t xml:space="preserve">required by the contract may be delayed or </w:t>
      </w:r>
      <w:r w:rsidRPr="006E5B0D">
        <w:rPr>
          <w:rFonts w:cs="Times New Roman"/>
          <w:szCs w:val="24"/>
        </w:rPr>
        <w:t xml:space="preserve">prevented from canceling the contract or switching to another supplier or to default service;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customers who cancel a contract early may incur a cancellation fee;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in most states, switching and billing rules for </w:t>
      </w:r>
      <w:r w:rsidR="001E5B9E" w:rsidRPr="006E5B0D">
        <w:rPr>
          <w:rFonts w:cs="Times New Roman"/>
          <w:szCs w:val="24"/>
        </w:rPr>
        <w:t>competitive</w:t>
      </w:r>
      <w:r w:rsidRPr="006E5B0D">
        <w:rPr>
          <w:rFonts w:cs="Times New Roman"/>
          <w:szCs w:val="24"/>
        </w:rPr>
        <w:t xml:space="preserve"> energy supply result in delays of weeks and sometimes months before a retail customer can be switched from a competitive energy supplier even after </w:t>
      </w:r>
      <w:r w:rsidR="003B3E0C">
        <w:rPr>
          <w:rFonts w:cs="Times New Roman"/>
          <w:szCs w:val="24"/>
        </w:rPr>
        <w:t xml:space="preserve">valid </w:t>
      </w:r>
      <w:r w:rsidRPr="006E5B0D">
        <w:rPr>
          <w:rFonts w:cs="Times New Roman"/>
          <w:szCs w:val="24"/>
        </w:rPr>
        <w:t xml:space="preserve">notice of cancellation; and </w:t>
      </w:r>
    </w:p>
    <w:p w:rsidR="002870B4" w:rsidRPr="006E5B0D" w:rsidRDefault="002870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 xml:space="preserve">, </w:t>
      </w:r>
      <w:r w:rsidRPr="006E5B0D">
        <w:rPr>
          <w:rFonts w:cs="Times New Roman"/>
          <w:szCs w:val="24"/>
        </w:rPr>
        <w:t xml:space="preserve">many competitive suppliers in the PJM and NE ISO areas in recent years have, for significant periods of time, been charging </w:t>
      </w:r>
      <w:r w:rsidR="00CF1F91" w:rsidRPr="006E5B0D">
        <w:rPr>
          <w:rFonts w:cs="Times New Roman"/>
          <w:szCs w:val="24"/>
        </w:rPr>
        <w:t xml:space="preserve">residential consumers </w:t>
      </w:r>
      <w:r w:rsidRPr="006E5B0D">
        <w:rPr>
          <w:rFonts w:cs="Times New Roman"/>
          <w:szCs w:val="24"/>
        </w:rPr>
        <w:t>variable rates that are substantially above rates available to consumers through default service prices and above market prices, including in the examples below; and</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the winter of 2012-2013 at least one competitive energy supplier operating in the PJM area charged </w:t>
      </w:r>
      <w:r w:rsidR="00966606" w:rsidRPr="006E5B0D">
        <w:rPr>
          <w:rFonts w:cs="Times New Roman"/>
          <w:szCs w:val="24"/>
        </w:rPr>
        <w:t xml:space="preserve">variable rate </w:t>
      </w:r>
      <w:r w:rsidRPr="006E5B0D">
        <w:rPr>
          <w:rFonts w:cs="Times New Roman"/>
          <w:szCs w:val="24"/>
        </w:rPr>
        <w:t>customers in PJM st</w:t>
      </w:r>
      <w:r w:rsidR="00966606" w:rsidRPr="006E5B0D">
        <w:rPr>
          <w:rFonts w:cs="Times New Roman"/>
          <w:szCs w:val="24"/>
        </w:rPr>
        <w:t xml:space="preserve">ates a rate in the range of 16 to 19 cents per kwh, compared to a default service price less than ten cents, based on the contract term </w:t>
      </w:r>
      <w:r w:rsidR="001A0466" w:rsidRPr="006E5B0D">
        <w:rPr>
          <w:rFonts w:cs="Times New Roman"/>
          <w:szCs w:val="24"/>
        </w:rPr>
        <w:t xml:space="preserve">of </w:t>
      </w:r>
      <w:r w:rsidR="001A0466" w:rsidRPr="006E5B0D">
        <w:rPr>
          <w:rFonts w:cs="Times New Roman"/>
          <w:szCs w:val="24"/>
        </w:rPr>
        <w:lastRenderedPageBreak/>
        <w:t>“</w:t>
      </w:r>
      <w:r w:rsidR="00966606" w:rsidRPr="006E5B0D">
        <w:rPr>
          <w:rFonts w:cs="Times New Roman"/>
          <w:szCs w:val="24"/>
        </w:rPr>
        <w:t xml:space="preserve">change in market conditions” that the supplier admitted occurred in a separate ISO </w:t>
      </w:r>
      <w:r w:rsidR="001E5B9E" w:rsidRPr="006E5B0D">
        <w:rPr>
          <w:rFonts w:cs="Times New Roman"/>
          <w:szCs w:val="24"/>
        </w:rPr>
        <w:t>region</w:t>
      </w:r>
      <w:r w:rsidR="00966606" w:rsidRPr="006E5B0D">
        <w:rPr>
          <w:rFonts w:cs="Times New Roman"/>
          <w:szCs w:val="24"/>
        </w:rPr>
        <w:t>, ISO NE, and not based on any supply or cost changes within the PJM region or PJM states; and</w:t>
      </w:r>
    </w:p>
    <w:p w:rsidR="00966606" w:rsidRPr="006E5B0D" w:rsidRDefault="00966606"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the winter of 2013-2014, an unknown number of competitive energy suppliers operating in states </w:t>
      </w:r>
      <w:r w:rsidR="00B4317B" w:rsidRPr="006E5B0D">
        <w:rPr>
          <w:rFonts w:cs="Times New Roman"/>
          <w:szCs w:val="24"/>
        </w:rPr>
        <w:t>within the PJM</w:t>
      </w:r>
      <w:r w:rsidRPr="006E5B0D">
        <w:rPr>
          <w:rFonts w:cs="Times New Roman"/>
          <w:szCs w:val="24"/>
        </w:rPr>
        <w:t xml:space="preserve"> </w:t>
      </w:r>
      <w:r w:rsidR="00B4317B" w:rsidRPr="006E5B0D">
        <w:rPr>
          <w:rFonts w:cs="Times New Roman"/>
          <w:szCs w:val="24"/>
        </w:rPr>
        <w:t>and</w:t>
      </w:r>
      <w:r w:rsidRPr="006E5B0D">
        <w:rPr>
          <w:rFonts w:cs="Times New Roman"/>
          <w:szCs w:val="24"/>
        </w:rPr>
        <w:t xml:space="preserve"> NE ISO regions charged their variable rate customers </w:t>
      </w:r>
      <w:r w:rsidR="0034354F" w:rsidRPr="006E5B0D">
        <w:rPr>
          <w:rFonts w:cs="Times New Roman"/>
          <w:szCs w:val="24"/>
        </w:rPr>
        <w:t xml:space="preserve">without prior notice </w:t>
      </w:r>
      <w:r w:rsidRPr="006E5B0D">
        <w:rPr>
          <w:rFonts w:cs="Times New Roman"/>
          <w:szCs w:val="24"/>
        </w:rPr>
        <w:t>rates within the 25 to 48 cents per kwh range in the month of January 2014</w:t>
      </w:r>
      <w:r w:rsidR="001A0466" w:rsidRPr="006E5B0D">
        <w:rPr>
          <w:rFonts w:cs="Times New Roman"/>
          <w:szCs w:val="24"/>
        </w:rPr>
        <w:t>, which</w:t>
      </w:r>
      <w:r w:rsidRPr="006E5B0D">
        <w:rPr>
          <w:rFonts w:cs="Times New Roman"/>
          <w:szCs w:val="24"/>
        </w:rPr>
        <w:t xml:space="preserve"> constituted increases two to four times the default service or fixed price costs in those states; and </w:t>
      </w:r>
    </w:p>
    <w:p w:rsidR="00DD493B" w:rsidRPr="006E5B0D" w:rsidRDefault="00DD493B"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consumer advocate agencies, public utility commissions and Offices of Attorney</w:t>
      </w:r>
      <w:r w:rsidR="00A846A6">
        <w:rPr>
          <w:rFonts w:cs="Times New Roman"/>
          <w:szCs w:val="24"/>
        </w:rPr>
        <w:t>s</w:t>
      </w:r>
      <w:r w:rsidRPr="006E5B0D">
        <w:rPr>
          <w:rFonts w:cs="Times New Roman"/>
          <w:szCs w:val="24"/>
        </w:rPr>
        <w:t xml:space="preserve"> General in those states received record numbers of consumer complaints about these dramatic increases in the supplier rates, particularly since the impact of the high rates was compounded by the increased energy usage in those months; and </w:t>
      </w:r>
    </w:p>
    <w:p w:rsidR="00DD493B" w:rsidRPr="006E5B0D" w:rsidRDefault="00DD493B" w:rsidP="00857B22">
      <w:pPr>
        <w:spacing w:after="240" w:line="240" w:lineRule="auto"/>
        <w:rPr>
          <w:rFonts w:cs="Times New Roman"/>
          <w:szCs w:val="24"/>
        </w:rPr>
      </w:pPr>
      <w:r w:rsidRPr="003B3E0C">
        <w:rPr>
          <w:rFonts w:cs="Times New Roman"/>
          <w:b/>
          <w:i/>
          <w:szCs w:val="24"/>
        </w:rPr>
        <w:t>Whereas</w:t>
      </w:r>
      <w:r w:rsidR="001E5B9E" w:rsidRPr="006E5B0D">
        <w:rPr>
          <w:rFonts w:cs="Times New Roman"/>
          <w:b/>
          <w:szCs w:val="24"/>
        </w:rPr>
        <w:t>,</w:t>
      </w:r>
      <w:r w:rsidRPr="006E5B0D">
        <w:rPr>
          <w:rFonts w:cs="Times New Roman"/>
          <w:szCs w:val="24"/>
        </w:rPr>
        <w:t xml:space="preserve"> the current cancellation and switching rules in most states during those months prevented consumers from cancelling these contracts without penalty or switching from suppliers in time to avoid these rates for the next month or two</w:t>
      </w:r>
      <w:r w:rsidR="00714668" w:rsidRPr="006E5B0D">
        <w:rPr>
          <w:rFonts w:cs="Times New Roman"/>
          <w:szCs w:val="24"/>
        </w:rPr>
        <w:t xml:space="preserve"> or more</w:t>
      </w:r>
      <w:r w:rsidRPr="006E5B0D">
        <w:rPr>
          <w:rFonts w:cs="Times New Roman"/>
          <w:szCs w:val="24"/>
        </w:rPr>
        <w:t xml:space="preserve">; and </w:t>
      </w:r>
    </w:p>
    <w:p w:rsidR="00DD493B" w:rsidRPr="006E5B0D" w:rsidRDefault="00DD493B" w:rsidP="00857B22">
      <w:pPr>
        <w:spacing w:after="240" w:line="240" w:lineRule="auto"/>
        <w:rPr>
          <w:rFonts w:cs="Times New Roman"/>
          <w:szCs w:val="24"/>
        </w:rPr>
      </w:pPr>
      <w:r w:rsidRPr="003B3E0C">
        <w:rPr>
          <w:rFonts w:cs="Times New Roman"/>
          <w:b/>
          <w:i/>
          <w:szCs w:val="24"/>
        </w:rPr>
        <w:t>Whereas</w:t>
      </w:r>
      <w:r w:rsidR="001E5B9E" w:rsidRPr="006E5B0D">
        <w:rPr>
          <w:rFonts w:cs="Times New Roman"/>
          <w:b/>
          <w:szCs w:val="24"/>
        </w:rPr>
        <w:t>,</w:t>
      </w:r>
      <w:r w:rsidRPr="006E5B0D">
        <w:rPr>
          <w:rFonts w:cs="Times New Roman"/>
          <w:szCs w:val="24"/>
        </w:rPr>
        <w:t xml:space="preserve"> the existing laws and regulations do not</w:t>
      </w:r>
      <w:r w:rsidR="003B3E0C">
        <w:rPr>
          <w:rFonts w:cs="Times New Roman"/>
          <w:szCs w:val="24"/>
        </w:rPr>
        <w:t xml:space="preserve">: </w:t>
      </w:r>
      <w:r w:rsidRPr="006E5B0D">
        <w:rPr>
          <w:rFonts w:cs="Times New Roman"/>
          <w:szCs w:val="24"/>
        </w:rPr>
        <w:t xml:space="preserve"> provide </w:t>
      </w:r>
      <w:r w:rsidR="00AA7478" w:rsidRPr="006E5B0D">
        <w:rPr>
          <w:rFonts w:cs="Times New Roman"/>
          <w:szCs w:val="24"/>
        </w:rPr>
        <w:t xml:space="preserve">clear and sufficient disclosure requirements </w:t>
      </w:r>
      <w:r w:rsidR="00D0692A" w:rsidRPr="006E5B0D">
        <w:rPr>
          <w:rFonts w:cs="Times New Roman"/>
          <w:szCs w:val="24"/>
        </w:rPr>
        <w:t xml:space="preserve">that </w:t>
      </w:r>
      <w:r w:rsidR="00AA7478" w:rsidRPr="006E5B0D">
        <w:rPr>
          <w:rFonts w:cs="Times New Roman"/>
          <w:szCs w:val="24"/>
        </w:rPr>
        <w:t>ensure consumers understand variable rate terms</w:t>
      </w:r>
      <w:r w:rsidR="003B3E0C">
        <w:rPr>
          <w:rFonts w:cs="Times New Roman"/>
          <w:szCs w:val="24"/>
        </w:rPr>
        <w:t>;</w:t>
      </w:r>
      <w:r w:rsidR="00AA7478" w:rsidRPr="006E5B0D">
        <w:rPr>
          <w:rFonts w:cs="Times New Roman"/>
          <w:szCs w:val="24"/>
        </w:rPr>
        <w:t xml:space="preserve"> </w:t>
      </w:r>
      <w:r w:rsidRPr="006E5B0D">
        <w:rPr>
          <w:rFonts w:cs="Times New Roman"/>
          <w:szCs w:val="24"/>
        </w:rPr>
        <w:t xml:space="preserve">protect retail customers </w:t>
      </w:r>
      <w:r w:rsidR="00AA7478" w:rsidRPr="006E5B0D">
        <w:rPr>
          <w:rFonts w:cs="Times New Roman"/>
          <w:szCs w:val="24"/>
        </w:rPr>
        <w:t>from dramatic</w:t>
      </w:r>
      <w:r w:rsidRPr="006E5B0D">
        <w:rPr>
          <w:rFonts w:cs="Times New Roman"/>
          <w:szCs w:val="24"/>
        </w:rPr>
        <w:t xml:space="preserve"> fluctuations in these rates</w:t>
      </w:r>
      <w:r w:rsidR="000A29E2">
        <w:rPr>
          <w:rFonts w:cs="Times New Roman"/>
          <w:szCs w:val="24"/>
        </w:rPr>
        <w:t>;</w:t>
      </w:r>
      <w:r w:rsidRPr="006E5B0D">
        <w:rPr>
          <w:rFonts w:cs="Times New Roman"/>
          <w:szCs w:val="24"/>
        </w:rPr>
        <w:t xml:space="preserve"> enable these customers to be informed about the actual variable rate in advance of being charged</w:t>
      </w:r>
      <w:r w:rsidR="000A29E2">
        <w:rPr>
          <w:rFonts w:cs="Times New Roman"/>
          <w:szCs w:val="24"/>
        </w:rPr>
        <w:t>;</w:t>
      </w:r>
      <w:r w:rsidRPr="006E5B0D">
        <w:rPr>
          <w:rFonts w:cs="Times New Roman"/>
          <w:szCs w:val="24"/>
        </w:rPr>
        <w:t xml:space="preserve"> </w:t>
      </w:r>
      <w:r w:rsidR="000A29E2">
        <w:rPr>
          <w:rFonts w:cs="Times New Roman"/>
          <w:szCs w:val="24"/>
        </w:rPr>
        <w:t>or</w:t>
      </w:r>
      <w:r w:rsidR="00D0692A" w:rsidRPr="006E5B0D">
        <w:rPr>
          <w:rFonts w:cs="Times New Roman"/>
          <w:szCs w:val="24"/>
        </w:rPr>
        <w:t xml:space="preserve"> allow consumers</w:t>
      </w:r>
      <w:r w:rsidRPr="006E5B0D">
        <w:rPr>
          <w:rFonts w:cs="Times New Roman"/>
          <w:szCs w:val="24"/>
        </w:rPr>
        <w:t xml:space="preserve"> </w:t>
      </w:r>
      <w:r w:rsidR="00AA7478" w:rsidRPr="006E5B0D">
        <w:rPr>
          <w:rFonts w:cs="Times New Roman"/>
          <w:szCs w:val="24"/>
        </w:rPr>
        <w:t>to cancel contracts easily and quickly;</w:t>
      </w:r>
    </w:p>
    <w:p w:rsidR="00AA7478" w:rsidRPr="006E5B0D" w:rsidRDefault="00AA7478" w:rsidP="00857B22">
      <w:pPr>
        <w:spacing w:after="240" w:line="240" w:lineRule="auto"/>
        <w:rPr>
          <w:rFonts w:cs="Times New Roman"/>
          <w:szCs w:val="24"/>
        </w:rPr>
      </w:pPr>
      <w:r w:rsidRPr="003B3E0C">
        <w:rPr>
          <w:rFonts w:cs="Times New Roman"/>
          <w:b/>
          <w:i/>
          <w:szCs w:val="24"/>
        </w:rPr>
        <w:t>Now, therefore, be it resolved</w:t>
      </w:r>
      <w:r w:rsidRPr="006E5B0D">
        <w:rPr>
          <w:rFonts w:cs="Times New Roman"/>
          <w:szCs w:val="24"/>
        </w:rPr>
        <w:t xml:space="preserve">, that state legislatures and state public utility commissions should develop and adopt laws and regulations to address marketing of </w:t>
      </w:r>
      <w:r w:rsidR="00B07062" w:rsidRPr="006E5B0D">
        <w:rPr>
          <w:rFonts w:cs="Times New Roman"/>
          <w:szCs w:val="24"/>
        </w:rPr>
        <w:t xml:space="preserve">energy contracts by </w:t>
      </w:r>
      <w:r w:rsidR="00A846A6">
        <w:rPr>
          <w:rFonts w:cs="Times New Roman"/>
          <w:szCs w:val="24"/>
        </w:rPr>
        <w:t>energy</w:t>
      </w:r>
      <w:r w:rsidR="00B07062" w:rsidRPr="006E5B0D">
        <w:rPr>
          <w:rFonts w:cs="Times New Roman"/>
          <w:szCs w:val="24"/>
        </w:rPr>
        <w:t xml:space="preserve"> suppliers, especially with respect to </w:t>
      </w:r>
      <w:r w:rsidRPr="006E5B0D">
        <w:rPr>
          <w:rFonts w:cs="Times New Roman"/>
          <w:szCs w:val="24"/>
        </w:rPr>
        <w:t>variable rates</w:t>
      </w:r>
      <w:r w:rsidR="00B07062" w:rsidRPr="006E5B0D">
        <w:rPr>
          <w:rFonts w:cs="Times New Roman"/>
          <w:szCs w:val="24"/>
        </w:rPr>
        <w:t>;</w:t>
      </w:r>
      <w:r w:rsidRPr="006E5B0D">
        <w:rPr>
          <w:rFonts w:cs="Times New Roman"/>
          <w:szCs w:val="24"/>
        </w:rPr>
        <w:t xml:space="preserve"> require clear and conspicuous disclosures regarding variable rates</w:t>
      </w:r>
      <w:r w:rsidR="00B07062" w:rsidRPr="006E5B0D">
        <w:rPr>
          <w:rFonts w:cs="Times New Roman"/>
          <w:szCs w:val="24"/>
        </w:rPr>
        <w:t>;</w:t>
      </w:r>
      <w:r w:rsidRPr="006E5B0D">
        <w:rPr>
          <w:rFonts w:cs="Times New Roman"/>
          <w:szCs w:val="24"/>
        </w:rPr>
        <w:t xml:space="preserve"> impose reasonable restrictions or parameters on changes in variable rates</w:t>
      </w:r>
      <w:r w:rsidR="00B07062" w:rsidRPr="006E5B0D">
        <w:rPr>
          <w:rFonts w:cs="Times New Roman"/>
          <w:szCs w:val="24"/>
        </w:rPr>
        <w:t>;</w:t>
      </w:r>
      <w:r w:rsidRPr="006E5B0D">
        <w:rPr>
          <w:rFonts w:cs="Times New Roman"/>
          <w:szCs w:val="24"/>
        </w:rPr>
        <w:t xml:space="preserve"> and enable faster and easier switching</w:t>
      </w:r>
      <w:r w:rsidR="00E0651E" w:rsidRPr="006E5B0D">
        <w:rPr>
          <w:rFonts w:cs="Times New Roman"/>
          <w:szCs w:val="24"/>
        </w:rPr>
        <w:t xml:space="preserve"> while respecting verification procedures</w:t>
      </w:r>
      <w:r w:rsidRPr="006E5B0D">
        <w:rPr>
          <w:rFonts w:cs="Times New Roman"/>
          <w:szCs w:val="24"/>
        </w:rPr>
        <w:t>;</w:t>
      </w:r>
    </w:p>
    <w:p w:rsidR="00B8181C" w:rsidRDefault="00AA7478" w:rsidP="00857B22">
      <w:pPr>
        <w:spacing w:line="240" w:lineRule="auto"/>
        <w:rPr>
          <w:rFonts w:cs="Times New Roman"/>
          <w:szCs w:val="24"/>
        </w:rPr>
      </w:pPr>
      <w:r w:rsidRPr="0022380A">
        <w:rPr>
          <w:rFonts w:cs="Times New Roman"/>
          <w:b/>
          <w:i/>
          <w:szCs w:val="24"/>
        </w:rPr>
        <w:t>Be it further resolved</w:t>
      </w:r>
      <w:r w:rsidRPr="0022380A">
        <w:rPr>
          <w:rFonts w:cs="Times New Roman"/>
          <w:szCs w:val="24"/>
        </w:rPr>
        <w:t>, that</w:t>
      </w:r>
      <w:r w:rsidR="00A846A6" w:rsidRPr="0022380A">
        <w:rPr>
          <w:rFonts w:cs="Times New Roman"/>
          <w:szCs w:val="24"/>
        </w:rPr>
        <w:t xml:space="preserve"> in addition to the general consumer protections set forth in Resolution 2012-4,</w:t>
      </w:r>
      <w:r w:rsidRPr="0022380A">
        <w:rPr>
          <w:rFonts w:cs="Times New Roman"/>
          <w:szCs w:val="24"/>
        </w:rPr>
        <w:t xml:space="preserve"> such laws and regulations should incorporate the following specific consumer protections:</w:t>
      </w:r>
    </w:p>
    <w:p w:rsidR="0022380A" w:rsidRDefault="0022380A" w:rsidP="00857B22">
      <w:pPr>
        <w:pStyle w:val="ListParagraph"/>
        <w:numPr>
          <w:ilvl w:val="0"/>
          <w:numId w:val="3"/>
        </w:numPr>
        <w:spacing w:after="240" w:line="240" w:lineRule="auto"/>
        <w:ind w:left="720"/>
        <w:rPr>
          <w:rFonts w:cs="Times New Roman"/>
          <w:szCs w:val="24"/>
        </w:rPr>
      </w:pPr>
      <w:r w:rsidRPr="0022380A">
        <w:rPr>
          <w:rFonts w:cs="Times New Roman"/>
          <w:szCs w:val="24"/>
        </w:rPr>
        <w:t>Limit or cap the percentage monthly and annual rate increases for variable rate contracts, if a limit or cap is not already in place;</w:t>
      </w:r>
    </w:p>
    <w:p w:rsidR="0022380A" w:rsidRDefault="0022380A" w:rsidP="00857B22">
      <w:pPr>
        <w:pStyle w:val="ListParagraph"/>
        <w:spacing w:after="240" w:line="240" w:lineRule="auto"/>
        <w:rPr>
          <w:rFonts w:cs="Times New Roman"/>
          <w:szCs w:val="24"/>
        </w:rPr>
      </w:pPr>
    </w:p>
    <w:p w:rsidR="00AA3B1C" w:rsidRPr="00B8181C" w:rsidRDefault="00E0651E" w:rsidP="00857B22">
      <w:pPr>
        <w:pStyle w:val="ListParagraph"/>
        <w:numPr>
          <w:ilvl w:val="0"/>
          <w:numId w:val="3"/>
        </w:numPr>
        <w:spacing w:after="240" w:line="240" w:lineRule="auto"/>
        <w:ind w:left="720"/>
        <w:rPr>
          <w:rFonts w:cs="Times New Roman"/>
          <w:szCs w:val="24"/>
        </w:rPr>
      </w:pPr>
      <w:r w:rsidRPr="00B8181C">
        <w:rPr>
          <w:rFonts w:cs="Times New Roman"/>
          <w:szCs w:val="24"/>
        </w:rPr>
        <w:t xml:space="preserve">For variable rate contracts, </w:t>
      </w:r>
      <w:r w:rsidR="001A0466" w:rsidRPr="00B8181C">
        <w:rPr>
          <w:rFonts w:cs="Times New Roman"/>
          <w:szCs w:val="24"/>
        </w:rPr>
        <w:t>require the</w:t>
      </w:r>
      <w:r w:rsidR="00D139E8" w:rsidRPr="00B8181C">
        <w:rPr>
          <w:rFonts w:cs="Times New Roman"/>
          <w:szCs w:val="24"/>
        </w:rPr>
        <w:t xml:space="preserve"> competitive energy suppliers </w:t>
      </w:r>
      <w:r w:rsidR="00B8181C">
        <w:rPr>
          <w:rFonts w:cs="Times New Roman"/>
          <w:szCs w:val="24"/>
        </w:rPr>
        <w:t>clearly and conspicuously to</w:t>
      </w:r>
      <w:r w:rsidR="00D139E8" w:rsidRPr="00B8181C">
        <w:rPr>
          <w:rFonts w:cs="Times New Roman"/>
          <w:szCs w:val="24"/>
        </w:rPr>
        <w:t xml:space="preserve"> </w:t>
      </w:r>
      <w:r w:rsidR="00AA3B1C" w:rsidRPr="00B8181C">
        <w:rPr>
          <w:rFonts w:cs="Times New Roman"/>
          <w:szCs w:val="24"/>
        </w:rPr>
        <w:t>disclose</w:t>
      </w:r>
      <w:r w:rsidR="00113617" w:rsidRPr="00B8181C">
        <w:rPr>
          <w:rFonts w:cs="Times New Roman"/>
          <w:szCs w:val="24"/>
        </w:rPr>
        <w:t xml:space="preserve">, </w:t>
      </w:r>
      <w:r w:rsidR="00B8181C">
        <w:rPr>
          <w:rFonts w:cs="Times New Roman"/>
          <w:szCs w:val="24"/>
        </w:rPr>
        <w:t xml:space="preserve">in a uniform, brief and easily comprehensible format, </w:t>
      </w:r>
      <w:r w:rsidR="00113617" w:rsidRPr="00B8181C">
        <w:rPr>
          <w:rFonts w:cs="Times New Roman"/>
          <w:szCs w:val="24"/>
        </w:rPr>
        <w:t>in advance of the sale and in writing, so the customer can review and consider the information as part of an informed decision</w:t>
      </w:r>
      <w:r w:rsidR="00AA3B1C" w:rsidRPr="00B8181C">
        <w:rPr>
          <w:rFonts w:cs="Times New Roman"/>
          <w:szCs w:val="24"/>
        </w:rPr>
        <w:t>:</w:t>
      </w:r>
    </w:p>
    <w:p w:rsidR="00D139E8" w:rsidRPr="006E5B0D" w:rsidRDefault="00AA3B1C" w:rsidP="00857B22">
      <w:pPr>
        <w:spacing w:after="240" w:line="240" w:lineRule="auto"/>
        <w:ind w:left="1440" w:hanging="720"/>
        <w:rPr>
          <w:rFonts w:cs="Times New Roman"/>
          <w:szCs w:val="24"/>
        </w:rPr>
      </w:pPr>
      <w:r w:rsidRPr="006E5B0D">
        <w:rPr>
          <w:rFonts w:cs="Times New Roman"/>
          <w:szCs w:val="24"/>
        </w:rPr>
        <w:t>a.</w:t>
      </w:r>
      <w:r w:rsidRPr="006E5B0D">
        <w:rPr>
          <w:rFonts w:cs="Times New Roman"/>
          <w:szCs w:val="24"/>
        </w:rPr>
        <w:tab/>
        <w:t xml:space="preserve">the methodology or formula used to calculate the new rate so that it is transparent and </w:t>
      </w:r>
      <w:r w:rsidR="0034354F" w:rsidRPr="006E5B0D">
        <w:rPr>
          <w:rFonts w:cs="Times New Roman"/>
          <w:szCs w:val="24"/>
        </w:rPr>
        <w:t>capable of showing how the current monthly price was calculated</w:t>
      </w:r>
      <w:r w:rsidRPr="006E5B0D">
        <w:rPr>
          <w:rFonts w:cs="Times New Roman"/>
          <w:szCs w:val="24"/>
        </w:rPr>
        <w:t>;</w:t>
      </w:r>
    </w:p>
    <w:p w:rsidR="00113617" w:rsidRDefault="00AA3B1C" w:rsidP="00857B22">
      <w:pPr>
        <w:spacing w:after="240" w:line="240" w:lineRule="auto"/>
        <w:ind w:left="1440" w:hanging="720"/>
        <w:rPr>
          <w:rFonts w:cs="Times New Roman"/>
          <w:szCs w:val="24"/>
        </w:rPr>
      </w:pPr>
      <w:r w:rsidRPr="006E5B0D">
        <w:rPr>
          <w:rFonts w:cs="Times New Roman"/>
          <w:szCs w:val="24"/>
        </w:rPr>
        <w:t>b.</w:t>
      </w:r>
      <w:r w:rsidRPr="006E5B0D">
        <w:rPr>
          <w:rFonts w:cs="Times New Roman"/>
          <w:szCs w:val="24"/>
        </w:rPr>
        <w:tab/>
        <w:t xml:space="preserve">the historical </w:t>
      </w:r>
      <w:r w:rsidR="0034354F" w:rsidRPr="006E5B0D">
        <w:rPr>
          <w:rFonts w:cs="Times New Roman"/>
          <w:szCs w:val="24"/>
        </w:rPr>
        <w:t xml:space="preserve">price charged to its customers under this methodology </w:t>
      </w:r>
      <w:r w:rsidR="00452F80" w:rsidRPr="006E5B0D">
        <w:rPr>
          <w:rFonts w:cs="Times New Roman"/>
          <w:szCs w:val="24"/>
        </w:rPr>
        <w:t xml:space="preserve">for at least </w:t>
      </w:r>
      <w:r w:rsidR="00113617">
        <w:rPr>
          <w:rFonts w:cs="Times New Roman"/>
          <w:szCs w:val="24"/>
        </w:rPr>
        <w:t xml:space="preserve">the previous </w:t>
      </w:r>
      <w:r w:rsidR="00452F80" w:rsidRPr="006E5B0D">
        <w:rPr>
          <w:rFonts w:cs="Times New Roman"/>
          <w:szCs w:val="24"/>
        </w:rPr>
        <w:t>12 months;</w:t>
      </w:r>
      <w:r w:rsidRPr="006E5B0D">
        <w:rPr>
          <w:rFonts w:cs="Times New Roman"/>
          <w:szCs w:val="24"/>
        </w:rPr>
        <w:t xml:space="preserve"> </w:t>
      </w:r>
    </w:p>
    <w:p w:rsidR="00AA3B1C" w:rsidRPr="006E5B0D" w:rsidRDefault="00113617" w:rsidP="00857B22">
      <w:pPr>
        <w:spacing w:after="240" w:line="240" w:lineRule="auto"/>
        <w:ind w:left="1440" w:hanging="720"/>
        <w:rPr>
          <w:rFonts w:cs="Times New Roman"/>
          <w:szCs w:val="24"/>
        </w:rPr>
      </w:pPr>
      <w:r>
        <w:rPr>
          <w:rFonts w:cs="Times New Roman"/>
          <w:szCs w:val="24"/>
        </w:rPr>
        <w:lastRenderedPageBreak/>
        <w:t xml:space="preserve">c. </w:t>
      </w:r>
      <w:r>
        <w:rPr>
          <w:rFonts w:cs="Times New Roman"/>
          <w:szCs w:val="24"/>
        </w:rPr>
        <w:tab/>
      </w:r>
      <w:r w:rsidR="00AA3B1C" w:rsidRPr="006E5B0D">
        <w:rPr>
          <w:rFonts w:cs="Times New Roman"/>
          <w:szCs w:val="24"/>
        </w:rPr>
        <w:t xml:space="preserve">the </w:t>
      </w:r>
      <w:r w:rsidR="0034354F" w:rsidRPr="006E5B0D">
        <w:rPr>
          <w:rFonts w:cs="Times New Roman"/>
          <w:szCs w:val="24"/>
        </w:rPr>
        <w:t xml:space="preserve">price </w:t>
      </w:r>
      <w:r w:rsidR="00AA3B1C" w:rsidRPr="006E5B0D">
        <w:rPr>
          <w:rFonts w:cs="Times New Roman"/>
          <w:szCs w:val="24"/>
        </w:rPr>
        <w:t>to be charged in the next billing cycle before that cycle begins;</w:t>
      </w:r>
    </w:p>
    <w:p w:rsidR="00E0651E" w:rsidRPr="006E5B0D" w:rsidRDefault="00E0651E" w:rsidP="00857B22">
      <w:pPr>
        <w:spacing w:after="240" w:line="240" w:lineRule="auto"/>
        <w:ind w:left="1440" w:hanging="720"/>
        <w:rPr>
          <w:rFonts w:cs="Times New Roman"/>
          <w:szCs w:val="24"/>
        </w:rPr>
      </w:pPr>
      <w:r w:rsidRPr="006E5B0D">
        <w:rPr>
          <w:rFonts w:cs="Times New Roman"/>
          <w:szCs w:val="24"/>
        </w:rPr>
        <w:t>d.</w:t>
      </w:r>
      <w:r w:rsidRPr="006E5B0D">
        <w:rPr>
          <w:rFonts w:cs="Times New Roman"/>
          <w:szCs w:val="24"/>
        </w:rPr>
        <w:tab/>
      </w:r>
      <w:r w:rsidR="00B8181C">
        <w:rPr>
          <w:rFonts w:cs="Times New Roman"/>
          <w:szCs w:val="24"/>
        </w:rPr>
        <w:t xml:space="preserve">the </w:t>
      </w:r>
      <w:r w:rsidRPr="006E5B0D">
        <w:rPr>
          <w:rFonts w:cs="Times New Roman"/>
          <w:szCs w:val="24"/>
        </w:rPr>
        <w:t>cap</w:t>
      </w:r>
      <w:r w:rsidR="00B8181C">
        <w:rPr>
          <w:rFonts w:cs="Times New Roman"/>
          <w:szCs w:val="24"/>
        </w:rPr>
        <w:t xml:space="preserve"> or limit</w:t>
      </w:r>
      <w:r w:rsidRPr="006E5B0D">
        <w:rPr>
          <w:rFonts w:cs="Times New Roman"/>
          <w:szCs w:val="24"/>
        </w:rPr>
        <w:t xml:space="preserve"> on the monthly and annual rate increases for a variable rate contract;</w:t>
      </w:r>
      <w:r w:rsidR="00430E6F" w:rsidRPr="006E5B0D">
        <w:rPr>
          <w:rFonts w:cs="Times New Roman"/>
          <w:szCs w:val="24"/>
        </w:rPr>
        <w:t xml:space="preserve"> and</w:t>
      </w:r>
    </w:p>
    <w:p w:rsidR="002E47E7" w:rsidRPr="006E5B0D" w:rsidRDefault="002E47E7" w:rsidP="00857B22">
      <w:pPr>
        <w:spacing w:after="240" w:line="240" w:lineRule="auto"/>
        <w:ind w:left="1440" w:hanging="720"/>
        <w:rPr>
          <w:rFonts w:cs="Times New Roman"/>
          <w:szCs w:val="24"/>
        </w:rPr>
      </w:pPr>
      <w:r w:rsidRPr="006E5B0D">
        <w:rPr>
          <w:rFonts w:cs="Times New Roman"/>
          <w:szCs w:val="24"/>
        </w:rPr>
        <w:t xml:space="preserve">e.  </w:t>
      </w:r>
      <w:r w:rsidRPr="006E5B0D">
        <w:rPr>
          <w:rFonts w:cs="Times New Roman"/>
          <w:szCs w:val="24"/>
        </w:rPr>
        <w:tab/>
        <w:t xml:space="preserve">how a consumer can find out </w:t>
      </w:r>
      <w:r w:rsidR="00452F80" w:rsidRPr="006E5B0D">
        <w:rPr>
          <w:rFonts w:cs="Times New Roman"/>
          <w:szCs w:val="24"/>
        </w:rPr>
        <w:t>current rate information</w:t>
      </w:r>
      <w:r w:rsidRPr="006E5B0D">
        <w:rPr>
          <w:rFonts w:cs="Times New Roman"/>
          <w:szCs w:val="24"/>
        </w:rPr>
        <w:t xml:space="preserve"> via a website </w:t>
      </w:r>
      <w:r w:rsidR="001A0466" w:rsidRPr="006E5B0D">
        <w:rPr>
          <w:rFonts w:cs="Times New Roman"/>
          <w:szCs w:val="24"/>
        </w:rPr>
        <w:t>and toll</w:t>
      </w:r>
      <w:r w:rsidRPr="006E5B0D">
        <w:rPr>
          <w:rFonts w:cs="Times New Roman"/>
          <w:szCs w:val="24"/>
        </w:rPr>
        <w:t xml:space="preserve"> free number</w:t>
      </w:r>
      <w:r w:rsidR="00430E6F" w:rsidRPr="006E5B0D">
        <w:rPr>
          <w:rFonts w:cs="Times New Roman"/>
          <w:szCs w:val="24"/>
        </w:rPr>
        <w:t>;</w:t>
      </w:r>
      <w:r w:rsidRPr="006E5B0D">
        <w:rPr>
          <w:rFonts w:cs="Times New Roman"/>
          <w:szCs w:val="24"/>
        </w:rPr>
        <w:t xml:space="preserve"> </w:t>
      </w:r>
    </w:p>
    <w:p w:rsidR="00AA3B1C" w:rsidRPr="006E5B0D" w:rsidRDefault="004B4DAB" w:rsidP="00857B22">
      <w:pPr>
        <w:spacing w:after="240" w:line="240" w:lineRule="auto"/>
        <w:ind w:left="720" w:hanging="720"/>
        <w:rPr>
          <w:rFonts w:cs="Times New Roman"/>
          <w:szCs w:val="24"/>
        </w:rPr>
      </w:pPr>
      <w:r>
        <w:rPr>
          <w:rFonts w:cs="Times New Roman"/>
          <w:szCs w:val="24"/>
        </w:rPr>
        <w:t>3</w:t>
      </w:r>
      <w:r w:rsidR="00AA3B1C" w:rsidRPr="006E5B0D">
        <w:rPr>
          <w:rFonts w:cs="Times New Roman"/>
          <w:szCs w:val="24"/>
        </w:rPr>
        <w:t xml:space="preserve">.  </w:t>
      </w:r>
      <w:r w:rsidR="00113617">
        <w:rPr>
          <w:rFonts w:cs="Times New Roman"/>
          <w:szCs w:val="24"/>
        </w:rPr>
        <w:tab/>
      </w:r>
      <w:r w:rsidR="00AA3B1C" w:rsidRPr="006E5B0D">
        <w:rPr>
          <w:rFonts w:cs="Times New Roman"/>
          <w:szCs w:val="24"/>
        </w:rPr>
        <w:t xml:space="preserve">Limit the early termination fees (ETFs) (also known as cancellation fees) to a reasonable amount, but </w:t>
      </w:r>
      <w:r w:rsidR="00452F80" w:rsidRPr="006E5B0D">
        <w:rPr>
          <w:rFonts w:cs="Times New Roman"/>
          <w:szCs w:val="24"/>
        </w:rPr>
        <w:t xml:space="preserve">no more than </w:t>
      </w:r>
      <w:r w:rsidR="00DE08CB" w:rsidRPr="006E5B0D">
        <w:rPr>
          <w:rFonts w:cs="Times New Roman"/>
          <w:szCs w:val="24"/>
        </w:rPr>
        <w:t>fifty dollars ($50)</w:t>
      </w:r>
      <w:r w:rsidR="00AA3B1C" w:rsidRPr="006E5B0D">
        <w:rPr>
          <w:rFonts w:cs="Times New Roman"/>
          <w:szCs w:val="24"/>
        </w:rPr>
        <w:t xml:space="preserve">, </w:t>
      </w:r>
      <w:r w:rsidR="001A0466" w:rsidRPr="006E5B0D">
        <w:rPr>
          <w:rFonts w:cs="Times New Roman"/>
          <w:szCs w:val="24"/>
        </w:rPr>
        <w:t>for fixed</w:t>
      </w:r>
      <w:r w:rsidR="00AA3B1C" w:rsidRPr="006E5B0D">
        <w:rPr>
          <w:rFonts w:cs="Times New Roman"/>
          <w:szCs w:val="24"/>
        </w:rPr>
        <w:t xml:space="preserve"> rate contracts, and prohibit ETFs for variable rate contracts;</w:t>
      </w:r>
    </w:p>
    <w:p w:rsidR="00AA3B1C" w:rsidRPr="006E5B0D" w:rsidRDefault="004B4DAB" w:rsidP="00857B22">
      <w:pPr>
        <w:spacing w:after="240" w:line="240" w:lineRule="auto"/>
        <w:ind w:left="720" w:hanging="720"/>
        <w:rPr>
          <w:rFonts w:cs="Times New Roman"/>
          <w:szCs w:val="24"/>
        </w:rPr>
      </w:pPr>
      <w:r>
        <w:rPr>
          <w:rFonts w:cs="Times New Roman"/>
          <w:szCs w:val="24"/>
        </w:rPr>
        <w:t>4</w:t>
      </w:r>
      <w:r w:rsidR="00AA3B1C" w:rsidRPr="006E5B0D">
        <w:rPr>
          <w:rFonts w:cs="Times New Roman"/>
          <w:szCs w:val="24"/>
        </w:rPr>
        <w:t xml:space="preserve">.  </w:t>
      </w:r>
      <w:r w:rsidR="00113617">
        <w:rPr>
          <w:rFonts w:cs="Times New Roman"/>
          <w:szCs w:val="24"/>
        </w:rPr>
        <w:tab/>
      </w:r>
      <w:r w:rsidR="00AA3B1C" w:rsidRPr="006E5B0D">
        <w:rPr>
          <w:rFonts w:cs="Times New Roman"/>
          <w:szCs w:val="24"/>
        </w:rPr>
        <w:t xml:space="preserve">Allow a customer to terminate a contract and </w:t>
      </w:r>
      <w:r w:rsidR="00D0692A" w:rsidRPr="006E5B0D">
        <w:rPr>
          <w:rFonts w:cs="Times New Roman"/>
          <w:szCs w:val="24"/>
        </w:rPr>
        <w:t>return</w:t>
      </w:r>
      <w:r w:rsidR="00AA3B1C" w:rsidRPr="006E5B0D">
        <w:rPr>
          <w:rFonts w:cs="Times New Roman"/>
          <w:szCs w:val="24"/>
        </w:rPr>
        <w:t xml:space="preserve"> to the utility supply service (sometimes known as Standard Offer Service (SOS) or default service) by contacting the utility directly; </w:t>
      </w:r>
    </w:p>
    <w:p w:rsidR="00AA3B1C" w:rsidRPr="006E5B0D" w:rsidRDefault="004B4DAB" w:rsidP="00857B22">
      <w:pPr>
        <w:spacing w:after="240" w:line="240" w:lineRule="auto"/>
        <w:ind w:left="720" w:hanging="720"/>
        <w:rPr>
          <w:rFonts w:cs="Times New Roman"/>
          <w:szCs w:val="24"/>
        </w:rPr>
      </w:pPr>
      <w:r>
        <w:rPr>
          <w:rFonts w:cs="Times New Roman"/>
          <w:szCs w:val="24"/>
        </w:rPr>
        <w:t>5</w:t>
      </w:r>
      <w:r w:rsidR="00AA3B1C" w:rsidRPr="006E5B0D">
        <w:rPr>
          <w:rFonts w:cs="Times New Roman"/>
          <w:szCs w:val="24"/>
        </w:rPr>
        <w:t xml:space="preserve">.  </w:t>
      </w:r>
      <w:r w:rsidR="00113617">
        <w:rPr>
          <w:rFonts w:cs="Times New Roman"/>
          <w:szCs w:val="24"/>
        </w:rPr>
        <w:tab/>
      </w:r>
      <w:r w:rsidR="00A45CE4" w:rsidRPr="006E5B0D">
        <w:rPr>
          <w:rFonts w:cs="Times New Roman"/>
          <w:szCs w:val="24"/>
        </w:rPr>
        <w:t xml:space="preserve">Prohibit the automatic renewal </w:t>
      </w:r>
      <w:r w:rsidR="00D0692A" w:rsidRPr="006E5B0D">
        <w:rPr>
          <w:rFonts w:cs="Times New Roman"/>
          <w:szCs w:val="24"/>
        </w:rPr>
        <w:t xml:space="preserve">of consumer contracts </w:t>
      </w:r>
      <w:r w:rsidR="001A0466" w:rsidRPr="006E5B0D">
        <w:rPr>
          <w:rFonts w:cs="Times New Roman"/>
          <w:szCs w:val="24"/>
        </w:rPr>
        <w:t>whereby fixed</w:t>
      </w:r>
      <w:r w:rsidR="00A45CE4" w:rsidRPr="006E5B0D">
        <w:rPr>
          <w:rFonts w:cs="Times New Roman"/>
          <w:szCs w:val="24"/>
        </w:rPr>
        <w:t xml:space="preserve"> term </w:t>
      </w:r>
      <w:r w:rsidR="00D0692A" w:rsidRPr="006E5B0D">
        <w:rPr>
          <w:rFonts w:cs="Times New Roman"/>
          <w:szCs w:val="24"/>
        </w:rPr>
        <w:t>agreements,</w:t>
      </w:r>
      <w:r w:rsidR="00A45CE4" w:rsidRPr="006E5B0D">
        <w:rPr>
          <w:rFonts w:cs="Times New Roman"/>
          <w:szCs w:val="24"/>
        </w:rPr>
        <w:t xml:space="preserve"> upon expiration of the</w:t>
      </w:r>
      <w:r w:rsidR="00D0692A" w:rsidRPr="006E5B0D">
        <w:rPr>
          <w:rFonts w:cs="Times New Roman"/>
          <w:szCs w:val="24"/>
        </w:rPr>
        <w:t>ir</w:t>
      </w:r>
      <w:r w:rsidR="00A45CE4" w:rsidRPr="006E5B0D">
        <w:rPr>
          <w:rFonts w:cs="Times New Roman"/>
          <w:szCs w:val="24"/>
        </w:rPr>
        <w:t xml:space="preserve"> term</w:t>
      </w:r>
      <w:r w:rsidR="00D0692A" w:rsidRPr="006E5B0D">
        <w:rPr>
          <w:rFonts w:cs="Times New Roman"/>
          <w:szCs w:val="24"/>
        </w:rPr>
        <w:t>,</w:t>
      </w:r>
      <w:r w:rsidR="00A45CE4" w:rsidRPr="006E5B0D">
        <w:rPr>
          <w:rFonts w:cs="Times New Roman"/>
          <w:szCs w:val="24"/>
        </w:rPr>
        <w:t xml:space="preserve"> </w:t>
      </w:r>
      <w:r w:rsidR="00D0692A" w:rsidRPr="006E5B0D">
        <w:rPr>
          <w:rFonts w:cs="Times New Roman"/>
          <w:szCs w:val="24"/>
        </w:rPr>
        <w:t>are converted to</w:t>
      </w:r>
      <w:r w:rsidR="0034354F" w:rsidRPr="006E5B0D">
        <w:rPr>
          <w:rFonts w:cs="Times New Roman"/>
          <w:szCs w:val="24"/>
        </w:rPr>
        <w:t xml:space="preserve"> </w:t>
      </w:r>
      <w:r w:rsidR="00A45CE4" w:rsidRPr="006E5B0D">
        <w:rPr>
          <w:rFonts w:cs="Times New Roman"/>
          <w:szCs w:val="24"/>
        </w:rPr>
        <w:t>variable rate contracts</w:t>
      </w:r>
      <w:r w:rsidR="0034354F" w:rsidRPr="006E5B0D">
        <w:rPr>
          <w:rFonts w:cs="Times New Roman"/>
          <w:szCs w:val="24"/>
        </w:rPr>
        <w:t xml:space="preserve"> based on a negative option notification</w:t>
      </w:r>
      <w:r w:rsidR="00D0692A" w:rsidRPr="006E5B0D">
        <w:rPr>
          <w:rFonts w:cs="Times New Roman"/>
          <w:szCs w:val="24"/>
        </w:rPr>
        <w:t>.  I</w:t>
      </w:r>
      <w:r w:rsidR="00A45CE4" w:rsidRPr="006E5B0D">
        <w:rPr>
          <w:rFonts w:cs="Times New Roman"/>
          <w:szCs w:val="24"/>
        </w:rPr>
        <w:t>nstead</w:t>
      </w:r>
      <w:r w:rsidR="00D0692A" w:rsidRPr="006E5B0D">
        <w:rPr>
          <w:rFonts w:cs="Times New Roman"/>
          <w:szCs w:val="24"/>
        </w:rPr>
        <w:t>,</w:t>
      </w:r>
      <w:r w:rsidR="00A45CE4" w:rsidRPr="006E5B0D">
        <w:rPr>
          <w:rFonts w:cs="Times New Roman"/>
          <w:szCs w:val="24"/>
        </w:rPr>
        <w:t xml:space="preserve"> require affirmative consent of the customer to </w:t>
      </w:r>
      <w:r w:rsidR="00D0692A" w:rsidRPr="006E5B0D">
        <w:rPr>
          <w:rFonts w:cs="Times New Roman"/>
          <w:szCs w:val="24"/>
        </w:rPr>
        <w:t xml:space="preserve">such </w:t>
      </w:r>
      <w:r w:rsidR="00A45CE4" w:rsidRPr="006E5B0D">
        <w:rPr>
          <w:rFonts w:cs="Times New Roman"/>
          <w:szCs w:val="24"/>
        </w:rPr>
        <w:t>variable rate contract</w:t>
      </w:r>
      <w:r w:rsidR="00D0692A" w:rsidRPr="006E5B0D">
        <w:rPr>
          <w:rFonts w:cs="Times New Roman"/>
          <w:szCs w:val="24"/>
        </w:rPr>
        <w:t>s</w:t>
      </w:r>
      <w:r w:rsidR="00A45CE4" w:rsidRPr="006E5B0D">
        <w:rPr>
          <w:rFonts w:cs="Times New Roman"/>
          <w:szCs w:val="24"/>
        </w:rPr>
        <w:t>;</w:t>
      </w:r>
      <w:r w:rsidR="007853BF" w:rsidRPr="006E5B0D">
        <w:rPr>
          <w:rFonts w:cs="Times New Roman"/>
          <w:szCs w:val="24"/>
        </w:rPr>
        <w:t xml:space="preserve"> </w:t>
      </w:r>
    </w:p>
    <w:p w:rsidR="00A45CE4" w:rsidRPr="006E5B0D" w:rsidRDefault="004B4DAB" w:rsidP="00857B22">
      <w:pPr>
        <w:spacing w:after="240" w:line="240" w:lineRule="auto"/>
        <w:ind w:left="720" w:hanging="720"/>
        <w:rPr>
          <w:rFonts w:cs="Times New Roman"/>
          <w:szCs w:val="24"/>
        </w:rPr>
      </w:pPr>
      <w:r>
        <w:rPr>
          <w:rFonts w:cs="Times New Roman"/>
          <w:szCs w:val="24"/>
        </w:rPr>
        <w:t>6</w:t>
      </w:r>
      <w:r w:rsidR="00244FA5" w:rsidRPr="006E5B0D">
        <w:rPr>
          <w:rFonts w:cs="Times New Roman"/>
          <w:szCs w:val="24"/>
        </w:rPr>
        <w:t xml:space="preserve">. </w:t>
      </w:r>
      <w:r w:rsidR="00113617">
        <w:rPr>
          <w:rFonts w:cs="Times New Roman"/>
          <w:szCs w:val="24"/>
        </w:rPr>
        <w:tab/>
      </w:r>
      <w:r w:rsidR="00244FA5" w:rsidRPr="006E5B0D">
        <w:rPr>
          <w:rFonts w:cs="Times New Roman"/>
          <w:szCs w:val="24"/>
        </w:rPr>
        <w:t>Ensure that the public utility commission has sufficient authority to address consumer issues with respect to marketing</w:t>
      </w:r>
      <w:r w:rsidR="0034354F" w:rsidRPr="006E5B0D">
        <w:rPr>
          <w:rFonts w:cs="Times New Roman"/>
          <w:szCs w:val="24"/>
        </w:rPr>
        <w:t>, disclosure,</w:t>
      </w:r>
      <w:r w:rsidR="00244FA5" w:rsidRPr="006E5B0D">
        <w:rPr>
          <w:rFonts w:cs="Times New Roman"/>
          <w:szCs w:val="24"/>
        </w:rPr>
        <w:t xml:space="preserve"> and contracting activities of competitive energy suppliers, specifically </w:t>
      </w:r>
      <w:r w:rsidR="00D0692A" w:rsidRPr="006E5B0D">
        <w:rPr>
          <w:rFonts w:cs="Times New Roman"/>
          <w:szCs w:val="24"/>
        </w:rPr>
        <w:t xml:space="preserve">with regard </w:t>
      </w:r>
      <w:r w:rsidR="00244FA5" w:rsidRPr="006E5B0D">
        <w:rPr>
          <w:rFonts w:cs="Times New Roman"/>
          <w:szCs w:val="24"/>
        </w:rPr>
        <w:t>to</w:t>
      </w:r>
      <w:r w:rsidR="00D0692A" w:rsidRPr="006E5B0D">
        <w:rPr>
          <w:rFonts w:cs="Times New Roman"/>
          <w:szCs w:val="24"/>
        </w:rPr>
        <w:t>:</w:t>
      </w:r>
      <w:r w:rsidR="00244FA5" w:rsidRPr="006E5B0D">
        <w:rPr>
          <w:rFonts w:cs="Times New Roman"/>
          <w:szCs w:val="24"/>
        </w:rPr>
        <w:t xml:space="preserve"> establish</w:t>
      </w:r>
      <w:r w:rsidR="00D0692A" w:rsidRPr="006E5B0D">
        <w:rPr>
          <w:rFonts w:cs="Times New Roman"/>
          <w:szCs w:val="24"/>
        </w:rPr>
        <w:t xml:space="preserve">ing </w:t>
      </w:r>
      <w:r w:rsidR="00244FA5" w:rsidRPr="006E5B0D">
        <w:rPr>
          <w:rFonts w:cs="Times New Roman"/>
          <w:szCs w:val="24"/>
        </w:rPr>
        <w:t xml:space="preserve"> notice, disclosure and other </w:t>
      </w:r>
      <w:r w:rsidR="00D0692A" w:rsidRPr="006E5B0D">
        <w:rPr>
          <w:rFonts w:cs="Times New Roman"/>
          <w:szCs w:val="24"/>
        </w:rPr>
        <w:t xml:space="preserve">such </w:t>
      </w:r>
      <w:r w:rsidR="00244FA5" w:rsidRPr="006E5B0D">
        <w:rPr>
          <w:rFonts w:cs="Times New Roman"/>
          <w:szCs w:val="24"/>
        </w:rPr>
        <w:t>requirements</w:t>
      </w:r>
      <w:r w:rsidR="007853BF" w:rsidRPr="006E5B0D">
        <w:rPr>
          <w:rFonts w:cs="Times New Roman"/>
          <w:szCs w:val="24"/>
        </w:rPr>
        <w:t>;</w:t>
      </w:r>
      <w:r w:rsidR="00B07062" w:rsidRPr="006E5B0D">
        <w:rPr>
          <w:rFonts w:cs="Times New Roman"/>
          <w:szCs w:val="24"/>
        </w:rPr>
        <w:t xml:space="preserve"> standards and limits with respect to telemarketing and door-to-door sales; </w:t>
      </w:r>
      <w:r w:rsidR="007853BF" w:rsidRPr="006E5B0D">
        <w:rPr>
          <w:rFonts w:cs="Times New Roman"/>
          <w:szCs w:val="24"/>
        </w:rPr>
        <w:t xml:space="preserve"> requir</w:t>
      </w:r>
      <w:r w:rsidR="00D0692A" w:rsidRPr="006E5B0D">
        <w:rPr>
          <w:rFonts w:cs="Times New Roman"/>
          <w:szCs w:val="24"/>
        </w:rPr>
        <w:t>ing</w:t>
      </w:r>
      <w:r w:rsidR="007853BF" w:rsidRPr="006E5B0D">
        <w:rPr>
          <w:rFonts w:cs="Times New Roman"/>
          <w:szCs w:val="24"/>
        </w:rPr>
        <w:t xml:space="preserve"> </w:t>
      </w:r>
      <w:r w:rsidR="00D0692A" w:rsidRPr="006E5B0D">
        <w:rPr>
          <w:rFonts w:cs="Times New Roman"/>
          <w:szCs w:val="24"/>
        </w:rPr>
        <w:t xml:space="preserve">baseline </w:t>
      </w:r>
      <w:r w:rsidR="007853BF" w:rsidRPr="006E5B0D">
        <w:rPr>
          <w:rFonts w:cs="Times New Roman"/>
          <w:szCs w:val="24"/>
        </w:rPr>
        <w:t>service quality and customer service standards, and provid</w:t>
      </w:r>
      <w:r w:rsidR="00D0692A" w:rsidRPr="006E5B0D">
        <w:rPr>
          <w:rFonts w:cs="Times New Roman"/>
          <w:szCs w:val="24"/>
        </w:rPr>
        <w:t>ing</w:t>
      </w:r>
      <w:r w:rsidR="007853BF" w:rsidRPr="006E5B0D">
        <w:rPr>
          <w:rFonts w:cs="Times New Roman"/>
          <w:szCs w:val="24"/>
        </w:rPr>
        <w:t xml:space="preserve"> sufficient enforcement tools</w:t>
      </w:r>
      <w:r w:rsidR="00B07062" w:rsidRPr="006E5B0D">
        <w:rPr>
          <w:rFonts w:cs="Times New Roman"/>
          <w:szCs w:val="24"/>
        </w:rPr>
        <w:t>,</w:t>
      </w:r>
      <w:r w:rsidR="007853BF" w:rsidRPr="006E5B0D">
        <w:rPr>
          <w:rFonts w:cs="Times New Roman"/>
          <w:szCs w:val="24"/>
        </w:rPr>
        <w:t xml:space="preserve"> including </w:t>
      </w:r>
      <w:r w:rsidR="0034354F" w:rsidRPr="006E5B0D">
        <w:rPr>
          <w:rFonts w:cs="Times New Roman"/>
          <w:szCs w:val="24"/>
        </w:rPr>
        <w:t>the ability to issue a temporary halt to marketing and sales activities based on the result of a Show Cause Notice</w:t>
      </w:r>
      <w:r w:rsidR="00B07062" w:rsidRPr="006E5B0D">
        <w:rPr>
          <w:rFonts w:cs="Times New Roman"/>
          <w:szCs w:val="24"/>
        </w:rPr>
        <w:t>;</w:t>
      </w:r>
      <w:r w:rsidR="0034354F" w:rsidRPr="006E5B0D">
        <w:rPr>
          <w:rFonts w:cs="Times New Roman"/>
          <w:szCs w:val="24"/>
        </w:rPr>
        <w:t xml:space="preserve"> take other reasonable </w:t>
      </w:r>
      <w:r w:rsidR="007853BF" w:rsidRPr="006E5B0D">
        <w:rPr>
          <w:rFonts w:cs="Times New Roman"/>
          <w:szCs w:val="24"/>
        </w:rPr>
        <w:t>license actions</w:t>
      </w:r>
      <w:r w:rsidR="00D0692A" w:rsidRPr="006E5B0D">
        <w:rPr>
          <w:rFonts w:cs="Times New Roman"/>
          <w:szCs w:val="24"/>
        </w:rPr>
        <w:t xml:space="preserve"> and </w:t>
      </w:r>
      <w:r w:rsidR="0034354F" w:rsidRPr="006E5B0D">
        <w:rPr>
          <w:rFonts w:cs="Times New Roman"/>
          <w:szCs w:val="24"/>
        </w:rPr>
        <w:t xml:space="preserve">order suppliers who violate the regulations and policies to provide </w:t>
      </w:r>
      <w:r w:rsidR="007853BF" w:rsidRPr="006E5B0D">
        <w:rPr>
          <w:rFonts w:cs="Times New Roman"/>
          <w:szCs w:val="24"/>
        </w:rPr>
        <w:t>consumer restitution (refunds and credits);</w:t>
      </w:r>
      <w:r w:rsidR="00DE08CB" w:rsidRPr="006E5B0D">
        <w:rPr>
          <w:rFonts w:cs="Times New Roman"/>
          <w:szCs w:val="24"/>
        </w:rPr>
        <w:t xml:space="preserve"> </w:t>
      </w:r>
    </w:p>
    <w:p w:rsidR="00113617" w:rsidRDefault="004B4DAB" w:rsidP="00857B22">
      <w:pPr>
        <w:spacing w:after="240" w:line="240" w:lineRule="auto"/>
        <w:ind w:left="720" w:hanging="720"/>
        <w:rPr>
          <w:rFonts w:cs="Times New Roman"/>
          <w:szCs w:val="24"/>
        </w:rPr>
      </w:pPr>
      <w:r>
        <w:rPr>
          <w:rFonts w:cs="Times New Roman"/>
          <w:szCs w:val="24"/>
        </w:rPr>
        <w:t>7</w:t>
      </w:r>
      <w:r w:rsidR="00B336AB" w:rsidRPr="006E5B0D">
        <w:rPr>
          <w:rFonts w:cs="Times New Roman"/>
          <w:szCs w:val="24"/>
        </w:rPr>
        <w:t xml:space="preserve">.  </w:t>
      </w:r>
      <w:r w:rsidR="00113617">
        <w:rPr>
          <w:rFonts w:cs="Times New Roman"/>
          <w:szCs w:val="24"/>
        </w:rPr>
        <w:tab/>
        <w:t>Establish a</w:t>
      </w:r>
      <w:r w:rsidR="00B336AB" w:rsidRPr="006E5B0D">
        <w:rPr>
          <w:rFonts w:cs="Times New Roman"/>
          <w:szCs w:val="24"/>
        </w:rPr>
        <w:t xml:space="preserve"> reasonable </w:t>
      </w:r>
      <w:r w:rsidR="001A0466" w:rsidRPr="006E5B0D">
        <w:rPr>
          <w:rFonts w:cs="Times New Roman"/>
          <w:szCs w:val="24"/>
        </w:rPr>
        <w:t>rescission</w:t>
      </w:r>
      <w:r w:rsidR="00B336AB" w:rsidRPr="006E5B0D">
        <w:rPr>
          <w:rFonts w:cs="Times New Roman"/>
          <w:szCs w:val="24"/>
        </w:rPr>
        <w:t xml:space="preserve"> period, of a minimum of 3 </w:t>
      </w:r>
      <w:r w:rsidR="00A846A6">
        <w:rPr>
          <w:rFonts w:cs="Times New Roman"/>
          <w:szCs w:val="24"/>
        </w:rPr>
        <w:t xml:space="preserve">business </w:t>
      </w:r>
      <w:r w:rsidR="00B336AB" w:rsidRPr="006E5B0D">
        <w:rPr>
          <w:rFonts w:cs="Times New Roman"/>
          <w:szCs w:val="24"/>
        </w:rPr>
        <w:t>days, for supplier contracts</w:t>
      </w:r>
      <w:r w:rsidR="00113617">
        <w:rPr>
          <w:rFonts w:cs="Times New Roman"/>
          <w:szCs w:val="24"/>
        </w:rPr>
        <w:t>; and</w:t>
      </w:r>
    </w:p>
    <w:p w:rsidR="00B336AB" w:rsidRPr="006E5B0D" w:rsidRDefault="004B4DAB" w:rsidP="00857B22">
      <w:pPr>
        <w:spacing w:after="240" w:line="240" w:lineRule="auto"/>
        <w:ind w:left="720" w:hanging="720"/>
        <w:rPr>
          <w:rFonts w:cs="Times New Roman"/>
          <w:szCs w:val="24"/>
        </w:rPr>
      </w:pPr>
      <w:r>
        <w:rPr>
          <w:rFonts w:cs="Times New Roman"/>
          <w:szCs w:val="24"/>
        </w:rPr>
        <w:t>8</w:t>
      </w:r>
      <w:r w:rsidR="00113617">
        <w:rPr>
          <w:rFonts w:cs="Times New Roman"/>
          <w:szCs w:val="24"/>
        </w:rPr>
        <w:t>.</w:t>
      </w:r>
      <w:r w:rsidR="00113617">
        <w:rPr>
          <w:rFonts w:cs="Times New Roman"/>
          <w:szCs w:val="24"/>
        </w:rPr>
        <w:tab/>
        <w:t>Prohibit suppliers from requiring customers, by contract or otherwise, to give advance notice of termination to the supplier of any longer duration tha</w:t>
      </w:r>
      <w:r w:rsidR="000972C7">
        <w:rPr>
          <w:rFonts w:cs="Times New Roman"/>
          <w:szCs w:val="24"/>
        </w:rPr>
        <w:t>n</w:t>
      </w:r>
      <w:r w:rsidR="00113617">
        <w:rPr>
          <w:rFonts w:cs="Times New Roman"/>
          <w:szCs w:val="24"/>
        </w:rPr>
        <w:t xml:space="preserve"> the duration of the advance notice given by the supplier to the customer of a change in the variable rate charged to the customer.</w:t>
      </w:r>
    </w:p>
    <w:p w:rsidR="00AA7478" w:rsidRPr="006E5B0D" w:rsidRDefault="00AA7478" w:rsidP="00857B22">
      <w:pPr>
        <w:spacing w:after="240" w:line="240" w:lineRule="auto"/>
        <w:rPr>
          <w:rFonts w:cs="Times New Roman"/>
          <w:szCs w:val="24"/>
        </w:rPr>
      </w:pPr>
      <w:r w:rsidRPr="003B3E0C">
        <w:rPr>
          <w:rFonts w:cs="Times New Roman"/>
          <w:b/>
          <w:i/>
          <w:szCs w:val="24"/>
        </w:rPr>
        <w:t>B</w:t>
      </w:r>
      <w:r w:rsidR="003B3E0C" w:rsidRPr="003B3E0C">
        <w:rPr>
          <w:rFonts w:cs="Times New Roman"/>
          <w:b/>
          <w:i/>
          <w:szCs w:val="24"/>
        </w:rPr>
        <w:t>e</w:t>
      </w:r>
      <w:r w:rsidRPr="003B3E0C">
        <w:rPr>
          <w:rFonts w:cs="Times New Roman"/>
          <w:b/>
          <w:i/>
          <w:szCs w:val="24"/>
        </w:rPr>
        <w:t xml:space="preserve"> it further resolved</w:t>
      </w:r>
      <w:r w:rsidRPr="006E5B0D">
        <w:rPr>
          <w:rFonts w:cs="Times New Roman"/>
          <w:szCs w:val="24"/>
        </w:rPr>
        <w:t xml:space="preserve">, that NASUCA authorizes its Executive Committee to develop specific guidelines for retail energy marketing to consumers and to take appropriate actions consistent with the terms of this resolution.  The Executive Committee shall advise the membership of any proposed action prior to taking such action, if possible.  In any event, the </w:t>
      </w:r>
      <w:r w:rsidR="00C47E2E">
        <w:rPr>
          <w:rFonts w:cs="Times New Roman"/>
          <w:szCs w:val="24"/>
        </w:rPr>
        <w:t>Ex</w:t>
      </w:r>
      <w:r w:rsidR="00C47E2E" w:rsidRPr="006E5B0D">
        <w:rPr>
          <w:rFonts w:cs="Times New Roman"/>
          <w:szCs w:val="24"/>
        </w:rPr>
        <w:t xml:space="preserve">ecutive </w:t>
      </w:r>
      <w:r w:rsidRPr="006E5B0D">
        <w:rPr>
          <w:rFonts w:cs="Times New Roman"/>
          <w:szCs w:val="24"/>
        </w:rPr>
        <w:t>Committee shall notify the membership of any actions taken pursuant to the resolution.</w:t>
      </w:r>
    </w:p>
    <w:p w:rsidR="00AA7478" w:rsidRDefault="00AA7478" w:rsidP="00857B22">
      <w:pPr>
        <w:spacing w:after="0" w:line="240" w:lineRule="auto"/>
        <w:rPr>
          <w:rFonts w:cs="Times New Roman"/>
          <w:szCs w:val="24"/>
        </w:rPr>
      </w:pPr>
      <w:r w:rsidRPr="006E5B0D">
        <w:rPr>
          <w:rFonts w:cs="Times New Roman"/>
          <w:szCs w:val="24"/>
        </w:rPr>
        <w:t>Submitted by the Consumer Protection Committee</w:t>
      </w:r>
    </w:p>
    <w:p w:rsidR="003B3E0C" w:rsidRDefault="003B3E0C" w:rsidP="00857B22">
      <w:pPr>
        <w:spacing w:after="0" w:line="240" w:lineRule="auto"/>
        <w:rPr>
          <w:rFonts w:cs="Times New Roman"/>
          <w:szCs w:val="24"/>
        </w:rPr>
      </w:pPr>
      <w:r>
        <w:rPr>
          <w:rFonts w:cs="Times New Roman"/>
          <w:szCs w:val="24"/>
        </w:rPr>
        <w:t xml:space="preserve">Approved June </w:t>
      </w:r>
      <w:r w:rsidR="0022380A">
        <w:rPr>
          <w:rFonts w:cs="Times New Roman"/>
          <w:szCs w:val="24"/>
        </w:rPr>
        <w:t>3</w:t>
      </w:r>
      <w:r>
        <w:rPr>
          <w:rFonts w:cs="Times New Roman"/>
          <w:szCs w:val="24"/>
        </w:rPr>
        <w:t>, 2014</w:t>
      </w:r>
    </w:p>
    <w:p w:rsidR="004277EF" w:rsidRPr="006E5B0D" w:rsidRDefault="003B3E0C" w:rsidP="00857B22">
      <w:pPr>
        <w:spacing w:line="240" w:lineRule="auto"/>
        <w:rPr>
          <w:rFonts w:cs="Times New Roman"/>
          <w:szCs w:val="24"/>
        </w:rPr>
      </w:pPr>
      <w:r>
        <w:rPr>
          <w:rFonts w:cs="Times New Roman"/>
          <w:szCs w:val="24"/>
        </w:rPr>
        <w:t>Santa Fe, New Mexico</w:t>
      </w:r>
    </w:p>
    <w:sectPr w:rsidR="004277EF" w:rsidRPr="006E5B0D" w:rsidSect="0022380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01" w:rsidRDefault="00532A01" w:rsidP="00AA7478">
      <w:pPr>
        <w:spacing w:after="0" w:line="240" w:lineRule="auto"/>
      </w:pPr>
      <w:r>
        <w:separator/>
      </w:r>
    </w:p>
  </w:endnote>
  <w:endnote w:type="continuationSeparator" w:id="0">
    <w:p w:rsidR="00532A01" w:rsidRDefault="00532A01" w:rsidP="00AA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7234"/>
      <w:docPartObj>
        <w:docPartGallery w:val="Page Numbers (Bottom of Page)"/>
        <w:docPartUnique/>
      </w:docPartObj>
    </w:sdtPr>
    <w:sdtEndPr>
      <w:rPr>
        <w:noProof/>
      </w:rPr>
    </w:sdtEndPr>
    <w:sdtContent>
      <w:p w:rsidR="003B3E0C" w:rsidRDefault="003B3E0C">
        <w:pPr>
          <w:pStyle w:val="Footer"/>
          <w:jc w:val="center"/>
        </w:pPr>
        <w:r>
          <w:fldChar w:fldCharType="begin"/>
        </w:r>
        <w:r>
          <w:instrText xml:space="preserve"> PAGE   \* MERGEFORMAT </w:instrText>
        </w:r>
        <w:r>
          <w:fldChar w:fldCharType="separate"/>
        </w:r>
        <w:r w:rsidR="00761544">
          <w:rPr>
            <w:noProof/>
          </w:rPr>
          <w:t>2</w:t>
        </w:r>
        <w:r>
          <w:rPr>
            <w:noProof/>
          </w:rPr>
          <w:fldChar w:fldCharType="end"/>
        </w:r>
      </w:p>
    </w:sdtContent>
  </w:sdt>
  <w:p w:rsidR="004E66DB" w:rsidRDefault="004E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01" w:rsidRDefault="00532A01" w:rsidP="00AA7478">
      <w:pPr>
        <w:spacing w:after="0" w:line="240" w:lineRule="auto"/>
      </w:pPr>
      <w:r>
        <w:separator/>
      </w:r>
    </w:p>
  </w:footnote>
  <w:footnote w:type="continuationSeparator" w:id="0">
    <w:p w:rsidR="00532A01" w:rsidRDefault="00532A01" w:rsidP="00AA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5000"/>
    <w:multiLevelType w:val="hybridMultilevel"/>
    <w:tmpl w:val="C9B47796"/>
    <w:lvl w:ilvl="0" w:tplc="256AC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9636E"/>
    <w:multiLevelType w:val="hybridMultilevel"/>
    <w:tmpl w:val="7B62DAF6"/>
    <w:lvl w:ilvl="0" w:tplc="0A943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EF4AA2"/>
    <w:multiLevelType w:val="hybridMultilevel"/>
    <w:tmpl w:val="5348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EF"/>
    <w:rsid w:val="000050C2"/>
    <w:rsid w:val="000972C7"/>
    <w:rsid w:val="000A29E2"/>
    <w:rsid w:val="000B5ED1"/>
    <w:rsid w:val="000D3CBD"/>
    <w:rsid w:val="00113617"/>
    <w:rsid w:val="001803AC"/>
    <w:rsid w:val="001A0466"/>
    <w:rsid w:val="001D215D"/>
    <w:rsid w:val="001E5B9E"/>
    <w:rsid w:val="0022380A"/>
    <w:rsid w:val="002333DB"/>
    <w:rsid w:val="00244FA5"/>
    <w:rsid w:val="002826C8"/>
    <w:rsid w:val="002870B4"/>
    <w:rsid w:val="002E47E7"/>
    <w:rsid w:val="0034354F"/>
    <w:rsid w:val="003B3E0C"/>
    <w:rsid w:val="003F22C6"/>
    <w:rsid w:val="004277EF"/>
    <w:rsid w:val="00430E6F"/>
    <w:rsid w:val="00434EB3"/>
    <w:rsid w:val="00452F80"/>
    <w:rsid w:val="00487593"/>
    <w:rsid w:val="004B4DAB"/>
    <w:rsid w:val="004E66DB"/>
    <w:rsid w:val="00532A01"/>
    <w:rsid w:val="005561BE"/>
    <w:rsid w:val="00572CB9"/>
    <w:rsid w:val="005A69A0"/>
    <w:rsid w:val="005B04B4"/>
    <w:rsid w:val="00613E23"/>
    <w:rsid w:val="006160EC"/>
    <w:rsid w:val="006442E7"/>
    <w:rsid w:val="006A0C13"/>
    <w:rsid w:val="006E5B0D"/>
    <w:rsid w:val="006F7C60"/>
    <w:rsid w:val="00710B54"/>
    <w:rsid w:val="00714668"/>
    <w:rsid w:val="0071619E"/>
    <w:rsid w:val="007232FA"/>
    <w:rsid w:val="00761544"/>
    <w:rsid w:val="007853BF"/>
    <w:rsid w:val="007B472A"/>
    <w:rsid w:val="007C5BDD"/>
    <w:rsid w:val="007F5721"/>
    <w:rsid w:val="0084383D"/>
    <w:rsid w:val="00853C44"/>
    <w:rsid w:val="00857B22"/>
    <w:rsid w:val="008B43E9"/>
    <w:rsid w:val="008C4080"/>
    <w:rsid w:val="008C480A"/>
    <w:rsid w:val="008E4A79"/>
    <w:rsid w:val="00922EB1"/>
    <w:rsid w:val="00950EC1"/>
    <w:rsid w:val="00953545"/>
    <w:rsid w:val="00966606"/>
    <w:rsid w:val="009D5552"/>
    <w:rsid w:val="00A022E8"/>
    <w:rsid w:val="00A36D54"/>
    <w:rsid w:val="00A45CE4"/>
    <w:rsid w:val="00A846A6"/>
    <w:rsid w:val="00A91D4A"/>
    <w:rsid w:val="00AA3B1C"/>
    <w:rsid w:val="00AA7478"/>
    <w:rsid w:val="00AE7C38"/>
    <w:rsid w:val="00AF0E4F"/>
    <w:rsid w:val="00B07062"/>
    <w:rsid w:val="00B13037"/>
    <w:rsid w:val="00B20445"/>
    <w:rsid w:val="00B22B1F"/>
    <w:rsid w:val="00B27DF9"/>
    <w:rsid w:val="00B336AB"/>
    <w:rsid w:val="00B4317B"/>
    <w:rsid w:val="00B44CA7"/>
    <w:rsid w:val="00B8181C"/>
    <w:rsid w:val="00BA4593"/>
    <w:rsid w:val="00C47E2E"/>
    <w:rsid w:val="00CF1F91"/>
    <w:rsid w:val="00D0692A"/>
    <w:rsid w:val="00D139E8"/>
    <w:rsid w:val="00D57FB7"/>
    <w:rsid w:val="00DA6278"/>
    <w:rsid w:val="00DD493B"/>
    <w:rsid w:val="00DE08CB"/>
    <w:rsid w:val="00E0651E"/>
    <w:rsid w:val="00E344E8"/>
    <w:rsid w:val="00E42FE9"/>
    <w:rsid w:val="00E95F61"/>
    <w:rsid w:val="00F150DA"/>
    <w:rsid w:val="00F54E0D"/>
    <w:rsid w:val="00FC3EA2"/>
    <w:rsid w:val="00FD219D"/>
    <w:rsid w:val="00FD4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78"/>
  </w:style>
  <w:style w:type="paragraph" w:styleId="Footer">
    <w:name w:val="footer"/>
    <w:basedOn w:val="Normal"/>
    <w:link w:val="FooterChar"/>
    <w:uiPriority w:val="99"/>
    <w:unhideWhenUsed/>
    <w:rsid w:val="00AA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78"/>
  </w:style>
  <w:style w:type="character" w:styleId="CommentReference">
    <w:name w:val="annotation reference"/>
    <w:basedOn w:val="DefaultParagraphFont"/>
    <w:uiPriority w:val="99"/>
    <w:semiHidden/>
    <w:unhideWhenUsed/>
    <w:rsid w:val="00DA6278"/>
    <w:rPr>
      <w:sz w:val="18"/>
      <w:szCs w:val="18"/>
    </w:rPr>
  </w:style>
  <w:style w:type="paragraph" w:styleId="CommentText">
    <w:name w:val="annotation text"/>
    <w:basedOn w:val="Normal"/>
    <w:link w:val="CommentTextChar"/>
    <w:uiPriority w:val="99"/>
    <w:unhideWhenUsed/>
    <w:rsid w:val="00DA6278"/>
    <w:pPr>
      <w:spacing w:line="240" w:lineRule="auto"/>
    </w:pPr>
    <w:rPr>
      <w:szCs w:val="24"/>
    </w:rPr>
  </w:style>
  <w:style w:type="character" w:customStyle="1" w:styleId="CommentTextChar">
    <w:name w:val="Comment Text Char"/>
    <w:basedOn w:val="DefaultParagraphFont"/>
    <w:link w:val="CommentText"/>
    <w:uiPriority w:val="99"/>
    <w:rsid w:val="00DA6278"/>
    <w:rPr>
      <w:szCs w:val="24"/>
    </w:rPr>
  </w:style>
  <w:style w:type="paragraph" w:styleId="CommentSubject">
    <w:name w:val="annotation subject"/>
    <w:basedOn w:val="CommentText"/>
    <w:next w:val="CommentText"/>
    <w:link w:val="CommentSubjectChar"/>
    <w:uiPriority w:val="99"/>
    <w:semiHidden/>
    <w:unhideWhenUsed/>
    <w:rsid w:val="00DA6278"/>
    <w:rPr>
      <w:b/>
      <w:bCs/>
      <w:sz w:val="20"/>
      <w:szCs w:val="20"/>
    </w:rPr>
  </w:style>
  <w:style w:type="character" w:customStyle="1" w:styleId="CommentSubjectChar">
    <w:name w:val="Comment Subject Char"/>
    <w:basedOn w:val="CommentTextChar"/>
    <w:link w:val="CommentSubject"/>
    <w:uiPriority w:val="99"/>
    <w:semiHidden/>
    <w:rsid w:val="00DA6278"/>
    <w:rPr>
      <w:b/>
      <w:bCs/>
      <w:sz w:val="20"/>
      <w:szCs w:val="20"/>
    </w:rPr>
  </w:style>
  <w:style w:type="paragraph" w:styleId="BalloonText">
    <w:name w:val="Balloon Text"/>
    <w:basedOn w:val="Normal"/>
    <w:link w:val="BalloonTextChar"/>
    <w:uiPriority w:val="99"/>
    <w:semiHidden/>
    <w:unhideWhenUsed/>
    <w:rsid w:val="00DA6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78"/>
    <w:rPr>
      <w:rFonts w:ascii="Lucida Grande" w:hAnsi="Lucida Grande" w:cs="Lucida Grande"/>
      <w:sz w:val="18"/>
      <w:szCs w:val="18"/>
    </w:rPr>
  </w:style>
  <w:style w:type="paragraph" w:styleId="Revision">
    <w:name w:val="Revision"/>
    <w:hidden/>
    <w:uiPriority w:val="99"/>
    <w:semiHidden/>
    <w:rsid w:val="007232FA"/>
    <w:pPr>
      <w:spacing w:after="0" w:line="240" w:lineRule="auto"/>
    </w:pPr>
  </w:style>
  <w:style w:type="paragraph" w:styleId="NoSpacing">
    <w:name w:val="No Spacing"/>
    <w:uiPriority w:val="1"/>
    <w:qFormat/>
    <w:rsid w:val="00714668"/>
    <w:pPr>
      <w:spacing w:after="0" w:line="240" w:lineRule="auto"/>
    </w:pPr>
  </w:style>
  <w:style w:type="character" w:styleId="LineNumber">
    <w:name w:val="line number"/>
    <w:basedOn w:val="DefaultParagraphFont"/>
    <w:uiPriority w:val="99"/>
    <w:semiHidden/>
    <w:unhideWhenUsed/>
    <w:rsid w:val="003B3E0C"/>
  </w:style>
  <w:style w:type="paragraph" w:styleId="ListParagraph">
    <w:name w:val="List Paragraph"/>
    <w:basedOn w:val="Normal"/>
    <w:uiPriority w:val="34"/>
    <w:qFormat/>
    <w:rsid w:val="00B81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78"/>
  </w:style>
  <w:style w:type="paragraph" w:styleId="Footer">
    <w:name w:val="footer"/>
    <w:basedOn w:val="Normal"/>
    <w:link w:val="FooterChar"/>
    <w:uiPriority w:val="99"/>
    <w:unhideWhenUsed/>
    <w:rsid w:val="00AA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78"/>
  </w:style>
  <w:style w:type="character" w:styleId="CommentReference">
    <w:name w:val="annotation reference"/>
    <w:basedOn w:val="DefaultParagraphFont"/>
    <w:uiPriority w:val="99"/>
    <w:semiHidden/>
    <w:unhideWhenUsed/>
    <w:rsid w:val="00DA6278"/>
    <w:rPr>
      <w:sz w:val="18"/>
      <w:szCs w:val="18"/>
    </w:rPr>
  </w:style>
  <w:style w:type="paragraph" w:styleId="CommentText">
    <w:name w:val="annotation text"/>
    <w:basedOn w:val="Normal"/>
    <w:link w:val="CommentTextChar"/>
    <w:uiPriority w:val="99"/>
    <w:unhideWhenUsed/>
    <w:rsid w:val="00DA6278"/>
    <w:pPr>
      <w:spacing w:line="240" w:lineRule="auto"/>
    </w:pPr>
    <w:rPr>
      <w:szCs w:val="24"/>
    </w:rPr>
  </w:style>
  <w:style w:type="character" w:customStyle="1" w:styleId="CommentTextChar">
    <w:name w:val="Comment Text Char"/>
    <w:basedOn w:val="DefaultParagraphFont"/>
    <w:link w:val="CommentText"/>
    <w:uiPriority w:val="99"/>
    <w:rsid w:val="00DA6278"/>
    <w:rPr>
      <w:szCs w:val="24"/>
    </w:rPr>
  </w:style>
  <w:style w:type="paragraph" w:styleId="CommentSubject">
    <w:name w:val="annotation subject"/>
    <w:basedOn w:val="CommentText"/>
    <w:next w:val="CommentText"/>
    <w:link w:val="CommentSubjectChar"/>
    <w:uiPriority w:val="99"/>
    <w:semiHidden/>
    <w:unhideWhenUsed/>
    <w:rsid w:val="00DA6278"/>
    <w:rPr>
      <w:b/>
      <w:bCs/>
      <w:sz w:val="20"/>
      <w:szCs w:val="20"/>
    </w:rPr>
  </w:style>
  <w:style w:type="character" w:customStyle="1" w:styleId="CommentSubjectChar">
    <w:name w:val="Comment Subject Char"/>
    <w:basedOn w:val="CommentTextChar"/>
    <w:link w:val="CommentSubject"/>
    <w:uiPriority w:val="99"/>
    <w:semiHidden/>
    <w:rsid w:val="00DA6278"/>
    <w:rPr>
      <w:b/>
      <w:bCs/>
      <w:sz w:val="20"/>
      <w:szCs w:val="20"/>
    </w:rPr>
  </w:style>
  <w:style w:type="paragraph" w:styleId="BalloonText">
    <w:name w:val="Balloon Text"/>
    <w:basedOn w:val="Normal"/>
    <w:link w:val="BalloonTextChar"/>
    <w:uiPriority w:val="99"/>
    <w:semiHidden/>
    <w:unhideWhenUsed/>
    <w:rsid w:val="00DA6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78"/>
    <w:rPr>
      <w:rFonts w:ascii="Lucida Grande" w:hAnsi="Lucida Grande" w:cs="Lucida Grande"/>
      <w:sz w:val="18"/>
      <w:szCs w:val="18"/>
    </w:rPr>
  </w:style>
  <w:style w:type="paragraph" w:styleId="Revision">
    <w:name w:val="Revision"/>
    <w:hidden/>
    <w:uiPriority w:val="99"/>
    <w:semiHidden/>
    <w:rsid w:val="007232FA"/>
    <w:pPr>
      <w:spacing w:after="0" w:line="240" w:lineRule="auto"/>
    </w:pPr>
  </w:style>
  <w:style w:type="paragraph" w:styleId="NoSpacing">
    <w:name w:val="No Spacing"/>
    <w:uiPriority w:val="1"/>
    <w:qFormat/>
    <w:rsid w:val="00714668"/>
    <w:pPr>
      <w:spacing w:after="0" w:line="240" w:lineRule="auto"/>
    </w:pPr>
  </w:style>
  <w:style w:type="character" w:styleId="LineNumber">
    <w:name w:val="line number"/>
    <w:basedOn w:val="DefaultParagraphFont"/>
    <w:uiPriority w:val="99"/>
    <w:semiHidden/>
    <w:unhideWhenUsed/>
    <w:rsid w:val="003B3E0C"/>
  </w:style>
  <w:style w:type="paragraph" w:styleId="ListParagraph">
    <w:name w:val="List Paragraph"/>
    <w:basedOn w:val="Normal"/>
    <w:uiPriority w:val="34"/>
    <w:qFormat/>
    <w:rsid w:val="00B8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Carmody</dc:creator>
  <cp:lastModifiedBy>Nicole</cp:lastModifiedBy>
  <cp:revision>2</cp:revision>
  <cp:lastPrinted>2014-05-06T15:39:00Z</cp:lastPrinted>
  <dcterms:created xsi:type="dcterms:W3CDTF">2015-05-13T13:54:00Z</dcterms:created>
  <dcterms:modified xsi:type="dcterms:W3CDTF">2015-05-13T13:54:00Z</dcterms:modified>
</cp:coreProperties>
</file>