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46" w:rsidRPr="00EC0746" w:rsidRDefault="00EC0746" w:rsidP="00EC0746">
      <w:pPr>
        <w:suppressLineNumbers/>
        <w:jc w:val="center"/>
        <w:rPr>
          <w:b/>
          <w:szCs w:val="28"/>
        </w:rPr>
      </w:pPr>
      <w:r w:rsidRPr="00EC0746">
        <w:rPr>
          <w:b/>
          <w:szCs w:val="28"/>
        </w:rPr>
        <w:t>THE NATIONAL ASSOCIATION OF</w:t>
      </w:r>
    </w:p>
    <w:p w:rsidR="00EC0746" w:rsidRPr="00EC0746" w:rsidRDefault="00EC0746" w:rsidP="00EC0746">
      <w:pPr>
        <w:suppressLineNumbers/>
        <w:jc w:val="center"/>
        <w:rPr>
          <w:b/>
          <w:szCs w:val="28"/>
        </w:rPr>
      </w:pPr>
      <w:r w:rsidRPr="00EC0746">
        <w:rPr>
          <w:b/>
          <w:szCs w:val="28"/>
        </w:rPr>
        <w:t>STATE UTILITY CONSUMER ADVOCATES</w:t>
      </w:r>
    </w:p>
    <w:p w:rsidR="00EC0746" w:rsidRPr="00EC0746" w:rsidRDefault="00EC0746" w:rsidP="00EC0746">
      <w:pPr>
        <w:suppressLineNumbers/>
        <w:jc w:val="center"/>
        <w:rPr>
          <w:b/>
          <w:szCs w:val="28"/>
        </w:rPr>
      </w:pPr>
      <w:r w:rsidRPr="00EC0746">
        <w:rPr>
          <w:b/>
          <w:szCs w:val="28"/>
        </w:rPr>
        <w:t>RESOLUTION 201</w:t>
      </w:r>
      <w:r w:rsidR="00D02BCE">
        <w:rPr>
          <w:b/>
          <w:szCs w:val="28"/>
        </w:rPr>
        <w:t>5</w:t>
      </w:r>
      <w:r w:rsidR="009A4ADB">
        <w:rPr>
          <w:b/>
          <w:szCs w:val="28"/>
        </w:rPr>
        <w:t>-1</w:t>
      </w:r>
    </w:p>
    <w:p w:rsidR="00EC0746" w:rsidRPr="00EC0746" w:rsidRDefault="00EC0746" w:rsidP="00EC0746">
      <w:pPr>
        <w:suppressLineNumbers/>
        <w:jc w:val="center"/>
        <w:rPr>
          <w:b/>
          <w:sz w:val="28"/>
          <w:szCs w:val="28"/>
        </w:rPr>
      </w:pPr>
    </w:p>
    <w:p w:rsidR="00EC0746" w:rsidRDefault="00EC0746" w:rsidP="00EC0746">
      <w:pPr>
        <w:suppressLineNumbers/>
        <w:jc w:val="center"/>
        <w:rPr>
          <w:b/>
        </w:rPr>
      </w:pPr>
      <w:r w:rsidRPr="00EC0746">
        <w:rPr>
          <w:b/>
        </w:rPr>
        <w:t xml:space="preserve">OPPOSING </w:t>
      </w:r>
      <w:r w:rsidR="00D02BCE">
        <w:rPr>
          <w:b/>
        </w:rPr>
        <w:t xml:space="preserve">GAS AND ELECTRIC </w:t>
      </w:r>
      <w:r>
        <w:rPr>
          <w:b/>
        </w:rPr>
        <w:t xml:space="preserve">UTILITY EFFORTS TO INCREASE </w:t>
      </w:r>
    </w:p>
    <w:p w:rsidR="00EC0746" w:rsidRPr="00EC0746" w:rsidRDefault="00E106BE" w:rsidP="00EC0746">
      <w:pPr>
        <w:suppressLineNumbers/>
        <w:jc w:val="center"/>
        <w:rPr>
          <w:b/>
        </w:rPr>
      </w:pPr>
      <w:r>
        <w:rPr>
          <w:b/>
        </w:rPr>
        <w:t xml:space="preserve">DELIVERY SERVICE </w:t>
      </w:r>
      <w:r w:rsidR="00EC0746">
        <w:rPr>
          <w:b/>
        </w:rPr>
        <w:t>CUSTOMER CHARGES</w:t>
      </w:r>
    </w:p>
    <w:p w:rsidR="00EC0746" w:rsidRPr="00EC0746" w:rsidRDefault="00EC0746" w:rsidP="00EC0746">
      <w:pPr>
        <w:suppressLineNumbers/>
        <w:jc w:val="center"/>
        <w:rPr>
          <w:b/>
        </w:rPr>
      </w:pPr>
    </w:p>
    <w:p w:rsidR="00EC0746" w:rsidRPr="00EC0746" w:rsidRDefault="00EC0746" w:rsidP="00EC0746">
      <w:pPr>
        <w:rPr>
          <w:b/>
          <w:i/>
        </w:rPr>
      </w:pPr>
      <w:r w:rsidRPr="00EC0746">
        <w:rPr>
          <w:b/>
          <w:i/>
        </w:rPr>
        <w:t xml:space="preserve">Whereas, </w:t>
      </w:r>
      <w:r w:rsidRPr="00EC0746">
        <w:t xml:space="preserve">the National Association of State Utility Consumer Advocates (“NASUCA”) has a long-standing interest in issues and policies that </w:t>
      </w:r>
      <w:r w:rsidR="005567D1">
        <w:t>ensure access to least-cost gas and electric utility services,</w:t>
      </w:r>
      <w:r w:rsidRPr="00EC0746">
        <w:t xml:space="preserve"> which are basic necessities of life in modern society; and</w:t>
      </w:r>
    </w:p>
    <w:p w:rsidR="00EC0746" w:rsidRPr="00EC0746" w:rsidRDefault="00EC0746" w:rsidP="00EC0746">
      <w:pPr>
        <w:suppressLineNumbers/>
        <w:rPr>
          <w:b/>
          <w:i/>
        </w:rPr>
      </w:pPr>
    </w:p>
    <w:p w:rsidR="00EC0746" w:rsidRPr="00EC0746" w:rsidRDefault="00EC0746" w:rsidP="00EC0746">
      <w:r w:rsidRPr="00EC0746">
        <w:rPr>
          <w:b/>
          <w:i/>
        </w:rPr>
        <w:t>Whereas</w:t>
      </w:r>
      <w:r w:rsidRPr="00EC0746">
        <w:t xml:space="preserve">, </w:t>
      </w:r>
      <w:r>
        <w:t xml:space="preserve">in recent years, </w:t>
      </w:r>
      <w:r w:rsidRPr="00EC0746">
        <w:t xml:space="preserve">gas and electric utilities have sought to </w:t>
      </w:r>
      <w:r>
        <w:t xml:space="preserve">substantially increase </w:t>
      </w:r>
      <w:r w:rsidR="004F0481">
        <w:t xml:space="preserve">the percentage of revenues recovered through the </w:t>
      </w:r>
      <w:r w:rsidR="00B67D78">
        <w:t xml:space="preserve">portion of the bill </w:t>
      </w:r>
      <w:r w:rsidR="005567D1">
        <w:t>known as the customer charge</w:t>
      </w:r>
      <w:r w:rsidR="004E11B7">
        <w:t>, which</w:t>
      </w:r>
      <w:r w:rsidR="00B67D78">
        <w:t xml:space="preserve"> does not change in relation to a </w:t>
      </w:r>
      <w:r w:rsidR="005567D1">
        <w:t xml:space="preserve">residential </w:t>
      </w:r>
      <w:r w:rsidR="00B67D78">
        <w:t>customer’s usage of utility service</w:t>
      </w:r>
      <w:r w:rsidR="00ED19AF">
        <w:t>, through</w:t>
      </w:r>
      <w:r w:rsidR="00EA70F1">
        <w:t xml:space="preserve"> proposals to increase the customer charge or through</w:t>
      </w:r>
      <w:r w:rsidR="00ED19AF">
        <w:t xml:space="preserve"> the imposition of what have been called Straight Fixed Variable or SFV rates</w:t>
      </w:r>
      <w:r w:rsidRPr="00EC0746">
        <w:t>; and</w:t>
      </w:r>
    </w:p>
    <w:p w:rsidR="00EC0746" w:rsidRPr="00EC0746" w:rsidRDefault="00EC0746" w:rsidP="00EC0746">
      <w:pPr>
        <w:suppressLineNumbers/>
      </w:pPr>
    </w:p>
    <w:p w:rsidR="00E106BE" w:rsidRPr="00E106BE" w:rsidRDefault="00EC0746" w:rsidP="00EC0746">
      <w:r w:rsidRPr="00EC0746">
        <w:rPr>
          <w:b/>
          <w:i/>
        </w:rPr>
        <w:t>Whereas</w:t>
      </w:r>
      <w:r w:rsidRPr="00EC0746">
        <w:t>,</w:t>
      </w:r>
      <w:r>
        <w:t xml:space="preserve"> these gas and electric utilities have </w:t>
      </w:r>
      <w:r w:rsidR="00E376CD">
        <w:t xml:space="preserve">sought to </w:t>
      </w:r>
      <w:r>
        <w:t>justif</w:t>
      </w:r>
      <w:r w:rsidR="00E376CD">
        <w:t>y</w:t>
      </w:r>
      <w:r>
        <w:t xml:space="preserve"> such increases</w:t>
      </w:r>
      <w:r w:rsidR="00A662B6">
        <w:t xml:space="preserve"> </w:t>
      </w:r>
      <w:r>
        <w:t xml:space="preserve">by arguing that all utility delivery costs are </w:t>
      </w:r>
      <w:r w:rsidR="00EE3E3E">
        <w:t>“</w:t>
      </w:r>
      <w:r>
        <w:t>fixed</w:t>
      </w:r>
      <w:r w:rsidR="00ED19AF">
        <w:t xml:space="preserve">” </w:t>
      </w:r>
      <w:r w:rsidR="005567D1">
        <w:t xml:space="preserve">and </w:t>
      </w:r>
      <w:r w:rsidR="00ED19AF">
        <w:t>do not vary with the volume of energy supply delivered to customers</w:t>
      </w:r>
      <w:r w:rsidR="00E106BE">
        <w:t xml:space="preserve">, and that reductions in customer usage due to conservation and energy efficiency increase the risk of non-recovery of utility costs; and </w:t>
      </w:r>
    </w:p>
    <w:p w:rsidR="00E106BE" w:rsidRDefault="00E106BE" w:rsidP="00771C24">
      <w:pPr>
        <w:suppressLineNumbers/>
        <w:rPr>
          <w:b/>
          <w:i/>
        </w:rPr>
      </w:pPr>
    </w:p>
    <w:p w:rsidR="00EC0746" w:rsidRPr="00EC0746" w:rsidRDefault="00E106BE" w:rsidP="00EC0746">
      <w:r>
        <w:rPr>
          <w:b/>
          <w:i/>
        </w:rPr>
        <w:t xml:space="preserve">Whereas, </w:t>
      </w:r>
      <w:r w:rsidR="004F0481">
        <w:t>based on th</w:t>
      </w:r>
      <w:r>
        <w:t>ese</w:t>
      </w:r>
      <w:r w:rsidR="004F0481">
        <w:t xml:space="preserve"> argument</w:t>
      </w:r>
      <w:r>
        <w:t>s</w:t>
      </w:r>
      <w:r w:rsidR="004F0481">
        <w:t xml:space="preserve">, </w:t>
      </w:r>
      <w:r w:rsidR="00EC0746">
        <w:t>th</w:t>
      </w:r>
      <w:r w:rsidR="00ED19AF">
        <w:t xml:space="preserve">ese gas and electric utilities </w:t>
      </w:r>
      <w:r w:rsidR="00AB7DB2">
        <w:t xml:space="preserve">have </w:t>
      </w:r>
      <w:r w:rsidR="004F0481">
        <w:t>propose</w:t>
      </w:r>
      <w:r w:rsidR="00AB7DB2">
        <w:t>d</w:t>
      </w:r>
      <w:r w:rsidR="004F0481">
        <w:t xml:space="preserve"> that</w:t>
      </w:r>
      <w:r w:rsidR="00B67D78">
        <w:t xml:space="preserve"> </w:t>
      </w:r>
      <w:r w:rsidR="00EE3E3E">
        <w:t xml:space="preserve">a greater percentage of </w:t>
      </w:r>
      <w:r w:rsidR="00133C06">
        <w:t xml:space="preserve">utility </w:t>
      </w:r>
      <w:r w:rsidR="00B67D78">
        <w:t>costs</w:t>
      </w:r>
      <w:r w:rsidR="00447781">
        <w:t xml:space="preserve"> (distribution costs such as </w:t>
      </w:r>
      <w:r w:rsidR="004B69BF">
        <w:t xml:space="preserve">electric </w:t>
      </w:r>
      <w:r w:rsidR="00447781">
        <w:t xml:space="preserve">transformers </w:t>
      </w:r>
      <w:r w:rsidR="004B69BF">
        <w:t xml:space="preserve">and </w:t>
      </w:r>
      <w:r w:rsidR="00447781">
        <w:t xml:space="preserve">poles </w:t>
      </w:r>
      <w:r w:rsidR="004B69BF">
        <w:t xml:space="preserve">and natural gas mains, </w:t>
      </w:r>
      <w:r w:rsidR="00447781">
        <w:t xml:space="preserve">traditionally recovered through volumetric rates) </w:t>
      </w:r>
      <w:r w:rsidR="00B67D78">
        <w:t>should be collected from customers through</w:t>
      </w:r>
      <w:r w:rsidR="00EE3E3E">
        <w:t xml:space="preserve"> flat, monthly customer </w:t>
      </w:r>
      <w:r w:rsidR="00B67D78">
        <w:t>charges;</w:t>
      </w:r>
      <w:r w:rsidR="00EC0746" w:rsidRPr="00EC0746">
        <w:t xml:space="preserve"> and</w:t>
      </w:r>
    </w:p>
    <w:p w:rsidR="00EC0746" w:rsidRPr="00EC0746" w:rsidRDefault="00EC0746" w:rsidP="00EC0746">
      <w:pPr>
        <w:suppressLineNumbers/>
      </w:pPr>
    </w:p>
    <w:p w:rsidR="00A662B6" w:rsidRPr="00B5210F" w:rsidRDefault="00EC0746" w:rsidP="00EC0746">
      <w:r w:rsidRPr="00B5210F">
        <w:rPr>
          <w:b/>
          <w:i/>
        </w:rPr>
        <w:t>Whereas</w:t>
      </w:r>
      <w:r w:rsidRPr="00B5210F">
        <w:rPr>
          <w:i/>
        </w:rPr>
        <w:t>,</w:t>
      </w:r>
      <w:r w:rsidR="00A662B6" w:rsidRPr="00B5210F">
        <w:rPr>
          <w:i/>
        </w:rPr>
        <w:t xml:space="preserve"> </w:t>
      </w:r>
      <w:r w:rsidR="00B12D30" w:rsidRPr="00B5210F">
        <w:t xml:space="preserve">gas and electric </w:t>
      </w:r>
      <w:r w:rsidR="00A662B6" w:rsidRPr="00B5210F">
        <w:t>utilities’ own embedded cost of service studies</w:t>
      </w:r>
      <w:r w:rsidR="00C15E38">
        <w:t>,</w:t>
      </w:r>
      <w:r w:rsidR="00E376CD" w:rsidRPr="00B5210F">
        <w:rPr>
          <w:rStyle w:val="EndnoteReference"/>
        </w:rPr>
        <w:endnoteReference w:id="1"/>
      </w:r>
      <w:r w:rsidR="00A662B6" w:rsidRPr="00B5210F">
        <w:t xml:space="preserve"> </w:t>
      </w:r>
      <w:r w:rsidR="00ED19AF" w:rsidRPr="00B5210F">
        <w:t>in fact</w:t>
      </w:r>
      <w:r w:rsidR="004F0481" w:rsidRPr="00B5210F">
        <w:t>,</w:t>
      </w:r>
      <w:r w:rsidR="00ED19AF" w:rsidRPr="00B5210F">
        <w:t xml:space="preserve"> show that a substantial portion of utility delivery service costs are </w:t>
      </w:r>
      <w:r w:rsidR="004B69BF" w:rsidRPr="00B5210F">
        <w:t>usage</w:t>
      </w:r>
      <w:r w:rsidR="00ED19AF" w:rsidRPr="00B5210F">
        <w:t xml:space="preserve">-related, and therefore, subject to variation </w:t>
      </w:r>
      <w:r w:rsidR="00133C06" w:rsidRPr="00B5210F">
        <w:t>based on</w:t>
      </w:r>
      <w:r w:rsidR="00ED19AF" w:rsidRPr="00B5210F">
        <w:t xml:space="preserve"> customer </w:t>
      </w:r>
      <w:r w:rsidR="004B69BF" w:rsidRPr="00B5210F">
        <w:t xml:space="preserve">usage of </w:t>
      </w:r>
      <w:r w:rsidR="00ED19AF" w:rsidRPr="00B5210F">
        <w:t>utility service; and</w:t>
      </w:r>
    </w:p>
    <w:p w:rsidR="004E52E1" w:rsidRPr="00447781" w:rsidRDefault="004E52E1" w:rsidP="00771C24">
      <w:pPr>
        <w:suppressLineNumbers/>
        <w:rPr>
          <w:highlight w:val="yellow"/>
        </w:rPr>
      </w:pPr>
    </w:p>
    <w:p w:rsidR="00EC0746" w:rsidRPr="00EC0746" w:rsidRDefault="00A662B6" w:rsidP="00EC0746">
      <w:r>
        <w:rPr>
          <w:b/>
          <w:i/>
        </w:rPr>
        <w:t>Whereas,</w:t>
      </w:r>
      <w:r w:rsidRPr="00A662B6">
        <w:t xml:space="preserve"> </w:t>
      </w:r>
      <w:r w:rsidR="004F0481">
        <w:t>increasing the fixed, customer charge through the imposition of SFV rates</w:t>
      </w:r>
      <w:r w:rsidR="00EA70F1">
        <w:t xml:space="preserve"> or other high customer charge structures</w:t>
      </w:r>
      <w:r w:rsidR="004F0481">
        <w:t xml:space="preserve"> creates disproportionate impacts on </w:t>
      </w:r>
      <w:r w:rsidR="00EA70F1">
        <w:t>low-volume consumers within a rate class,</w:t>
      </w:r>
      <w:r w:rsidR="004F0481">
        <w:t xml:space="preserve"> such that the </w:t>
      </w:r>
      <w:r>
        <w:t xml:space="preserve">lowest users of </w:t>
      </w:r>
      <w:r w:rsidR="00ED19AF">
        <w:t xml:space="preserve">gas and electric service </w:t>
      </w:r>
      <w:r>
        <w:t xml:space="preserve">shoulder the highest percentage of </w:t>
      </w:r>
      <w:r w:rsidR="00435D04">
        <w:t xml:space="preserve">rate increases, </w:t>
      </w:r>
      <w:r w:rsidR="004F0481">
        <w:t>and</w:t>
      </w:r>
      <w:r w:rsidR="00435D04">
        <w:t xml:space="preserve"> the highest users of utility service experience lower-than-average rate increases, and even rate decreases</w:t>
      </w:r>
      <w:r w:rsidR="00C15E38">
        <w:t>,</w:t>
      </w:r>
      <w:r w:rsidR="00771C24">
        <w:rPr>
          <w:rStyle w:val="EndnoteReference"/>
        </w:rPr>
        <w:endnoteReference w:id="2"/>
      </w:r>
      <w:r w:rsidR="004F0481">
        <w:t xml:space="preserve"> </w:t>
      </w:r>
      <w:r>
        <w:t>in some instances</w:t>
      </w:r>
      <w:r w:rsidR="00133C06">
        <w:t>;</w:t>
      </w:r>
      <w:r>
        <w:t xml:space="preserve"> </w:t>
      </w:r>
      <w:r w:rsidR="00EC0746" w:rsidRPr="00EC0746">
        <w:t>and</w:t>
      </w:r>
    </w:p>
    <w:p w:rsidR="00EC0746" w:rsidRPr="00EC0746" w:rsidRDefault="00EC0746" w:rsidP="00EC0746">
      <w:pPr>
        <w:suppressLineNumbers/>
      </w:pPr>
    </w:p>
    <w:p w:rsidR="00E106BE" w:rsidRDefault="00EC0746" w:rsidP="00EC0746">
      <w:r w:rsidRPr="00EC0746">
        <w:rPr>
          <w:b/>
          <w:i/>
        </w:rPr>
        <w:t>Whereas</w:t>
      </w:r>
      <w:r w:rsidRPr="00EC0746">
        <w:t xml:space="preserve">, </w:t>
      </w:r>
      <w:r w:rsidR="00435D04">
        <w:t xml:space="preserve">nationally </w:t>
      </w:r>
      <w:r w:rsidR="004C517E">
        <w:t xml:space="preserve">recognized utility rate design principles call for the </w:t>
      </w:r>
      <w:r w:rsidR="00435D04">
        <w:t>structuring</w:t>
      </w:r>
      <w:r w:rsidR="00E106BE">
        <w:t xml:space="preserve"> of delivery service rates that are equitable, fair and cost-based;</w:t>
      </w:r>
      <w:r w:rsidR="00FC3437">
        <w:t xml:space="preserve"> and</w:t>
      </w:r>
    </w:p>
    <w:p w:rsidR="00E106BE" w:rsidRDefault="00E106BE" w:rsidP="00771C24">
      <w:pPr>
        <w:suppressLineNumbers/>
      </w:pPr>
    </w:p>
    <w:p w:rsidR="00EC0746" w:rsidRPr="00EC0746" w:rsidRDefault="00E106BE" w:rsidP="00EC0746">
      <w:r>
        <w:rPr>
          <w:b/>
          <w:i/>
        </w:rPr>
        <w:t xml:space="preserve">Whereas, </w:t>
      </w:r>
      <w:r w:rsidR="00133C06">
        <w:t xml:space="preserve">SFV </w:t>
      </w:r>
      <w:r w:rsidR="00EA70F1">
        <w:t xml:space="preserve">and other high customer charge </w:t>
      </w:r>
      <w:r>
        <w:t xml:space="preserve">rate </w:t>
      </w:r>
      <w:r w:rsidR="004C517E">
        <w:t>design proposals</w:t>
      </w:r>
      <w:r w:rsidR="00133C06">
        <w:t>,</w:t>
      </w:r>
      <w:r w:rsidR="004C517E">
        <w:t xml:space="preserve"> in which low-use customers </w:t>
      </w:r>
      <w:r w:rsidR="00133C06">
        <w:t>would</w:t>
      </w:r>
      <w:r w:rsidR="004C517E">
        <w:t xml:space="preserve"> see greater than average increases, while high-use customers would </w:t>
      </w:r>
      <w:r>
        <w:t xml:space="preserve">experience </w:t>
      </w:r>
      <w:r w:rsidR="004C517E">
        <w:t>lower-than-average increase</w:t>
      </w:r>
      <w:r>
        <w:t>s</w:t>
      </w:r>
      <w:r w:rsidR="004C517E">
        <w:t xml:space="preserve"> and even decreases in their total distribution bill, are </w:t>
      </w:r>
      <w:r w:rsidR="003E2FD3">
        <w:t>unjust and in</w:t>
      </w:r>
      <w:r w:rsidR="004C517E">
        <w:t>consistent with sound rate design principles</w:t>
      </w:r>
      <w:r w:rsidR="003E2FD3">
        <w:t>;</w:t>
      </w:r>
      <w:r w:rsidR="004C517E">
        <w:t xml:space="preserve"> </w:t>
      </w:r>
      <w:r w:rsidR="00EC0746" w:rsidRPr="00EC0746">
        <w:t>and</w:t>
      </w:r>
    </w:p>
    <w:p w:rsidR="00EC0746" w:rsidRPr="00EC0746" w:rsidRDefault="00EC0746" w:rsidP="00EC0746">
      <w:pPr>
        <w:suppressLineNumbers/>
      </w:pPr>
    </w:p>
    <w:p w:rsidR="008863BD" w:rsidRDefault="00EC0746" w:rsidP="008863BD">
      <w:pPr>
        <w:autoSpaceDE w:val="0"/>
        <w:autoSpaceDN w:val="0"/>
        <w:adjustRightInd w:val="0"/>
      </w:pPr>
      <w:r w:rsidRPr="00EC0746">
        <w:rPr>
          <w:b/>
          <w:i/>
        </w:rPr>
        <w:lastRenderedPageBreak/>
        <w:t>Whereas</w:t>
      </w:r>
      <w:r w:rsidRPr="00EC0746">
        <w:t>,</w:t>
      </w:r>
      <w:r w:rsidR="00E106BE">
        <w:t xml:space="preserve"> </w:t>
      </w:r>
      <w:r w:rsidR="008863BD">
        <w:t>data collected by the U.S. Energy Information Administration show that</w:t>
      </w:r>
      <w:r w:rsidR="003425AF">
        <w:t xml:space="preserve"> in a</w:t>
      </w:r>
      <w:r w:rsidR="002E3F34">
        <w:t xml:space="preserve"> vast</w:t>
      </w:r>
      <w:r w:rsidR="008F2342">
        <w:t xml:space="preserve"> </w:t>
      </w:r>
      <w:r w:rsidR="003425AF">
        <w:t xml:space="preserve">majority of </w:t>
      </w:r>
      <w:r w:rsidR="00EA70F1">
        <w:t>regions called “reportable domains</w:t>
      </w:r>
      <w:r w:rsidR="005567D1">
        <w:t>,</w:t>
      </w:r>
      <w:r w:rsidR="00EA70F1">
        <w:t>”</w:t>
      </w:r>
      <w:r w:rsidR="00293C7D">
        <w:rPr>
          <w:rStyle w:val="EndnoteReference"/>
        </w:rPr>
        <w:endnoteReference w:id="3"/>
      </w:r>
      <w:r w:rsidR="008863BD">
        <w:t xml:space="preserve"> low-income customers</w:t>
      </w:r>
      <w:r w:rsidR="003425AF">
        <w:t xml:space="preserve"> </w:t>
      </w:r>
      <w:r w:rsidR="00133C06">
        <w:t>(</w:t>
      </w:r>
      <w:r w:rsidR="003E2FD3">
        <w:t xml:space="preserve">with incomes </w:t>
      </w:r>
      <w:r w:rsidR="003425AF">
        <w:t>at or below 150% of the federal poverty level</w:t>
      </w:r>
      <w:r w:rsidR="00133C06">
        <w:t>)</w:t>
      </w:r>
      <w:r w:rsidR="003425AF">
        <w:t xml:space="preserve"> </w:t>
      </w:r>
      <w:r w:rsidR="003E2FD3">
        <w:t xml:space="preserve">on average </w:t>
      </w:r>
      <w:r w:rsidR="008863BD">
        <w:t>use less electricity than the statewide residential average and less than their higher-income counterparts</w:t>
      </w:r>
      <w:r w:rsidR="00C15E38">
        <w:t>;</w:t>
      </w:r>
      <w:r w:rsidR="00293C7D">
        <w:rPr>
          <w:rStyle w:val="EndnoteReference"/>
        </w:rPr>
        <w:endnoteReference w:id="4"/>
      </w:r>
      <w:r w:rsidR="00133C06">
        <w:t xml:space="preserve"> and</w:t>
      </w:r>
    </w:p>
    <w:p w:rsidR="006859C1" w:rsidRDefault="006859C1" w:rsidP="00771C24">
      <w:pPr>
        <w:suppressLineNumbers/>
        <w:autoSpaceDE w:val="0"/>
        <w:autoSpaceDN w:val="0"/>
        <w:adjustRightInd w:val="0"/>
      </w:pPr>
    </w:p>
    <w:p w:rsidR="003425AF" w:rsidRDefault="00465E58" w:rsidP="003425AF">
      <w:pPr>
        <w:autoSpaceDE w:val="0"/>
        <w:autoSpaceDN w:val="0"/>
        <w:adjustRightInd w:val="0"/>
      </w:pPr>
      <w:r>
        <w:rPr>
          <w:b/>
          <w:i/>
        </w:rPr>
        <w:t>Whereas</w:t>
      </w:r>
      <w:r w:rsidR="008863BD">
        <w:rPr>
          <w:b/>
          <w:i/>
        </w:rPr>
        <w:t xml:space="preserve">, </w:t>
      </w:r>
      <w:r w:rsidR="003425AF" w:rsidRPr="00B5210F">
        <w:t>th</w:t>
      </w:r>
      <w:r w:rsidR="009C5A69">
        <w:t>ese</w:t>
      </w:r>
      <w:r w:rsidR="003425AF">
        <w:t xml:space="preserve"> data also show that in every </w:t>
      </w:r>
      <w:r w:rsidR="002E3F34">
        <w:t xml:space="preserve">reportable domain </w:t>
      </w:r>
      <w:r w:rsidR="003425AF">
        <w:t>but one, elderly residential customers (65 years of age or older) use less electricity</w:t>
      </w:r>
      <w:r w:rsidR="003E2FD3">
        <w:t xml:space="preserve"> on average</w:t>
      </w:r>
      <w:r w:rsidR="003425AF">
        <w:t xml:space="preserve"> than the statewide residential average and less than their younger counterparts</w:t>
      </w:r>
      <w:r w:rsidR="00C15E38">
        <w:t>;</w:t>
      </w:r>
      <w:r w:rsidR="00293C7D">
        <w:rPr>
          <w:rStyle w:val="EndnoteReference"/>
        </w:rPr>
        <w:endnoteReference w:id="5"/>
      </w:r>
      <w:r w:rsidR="00133C06">
        <w:t xml:space="preserve"> and</w:t>
      </w:r>
    </w:p>
    <w:p w:rsidR="003425AF" w:rsidRDefault="003425AF" w:rsidP="00771C24">
      <w:pPr>
        <w:suppressLineNumbers/>
        <w:autoSpaceDE w:val="0"/>
        <w:autoSpaceDN w:val="0"/>
        <w:adjustRightInd w:val="0"/>
      </w:pPr>
    </w:p>
    <w:p w:rsidR="009A45DB" w:rsidRDefault="00465E58" w:rsidP="008863BD">
      <w:pPr>
        <w:autoSpaceDE w:val="0"/>
        <w:autoSpaceDN w:val="0"/>
        <w:adjustRightInd w:val="0"/>
      </w:pPr>
      <w:r>
        <w:rPr>
          <w:b/>
          <w:i/>
        </w:rPr>
        <w:t>Whereas</w:t>
      </w:r>
      <w:r w:rsidR="003425AF">
        <w:rPr>
          <w:b/>
          <w:i/>
        </w:rPr>
        <w:t xml:space="preserve">, </w:t>
      </w:r>
      <w:r w:rsidR="009C5A69" w:rsidRPr="009C5A69">
        <w:t xml:space="preserve">these </w:t>
      </w:r>
      <w:r w:rsidR="003425AF">
        <w:t xml:space="preserve">data also show that in a </w:t>
      </w:r>
      <w:r w:rsidR="002E3F34">
        <w:t xml:space="preserve">vast </w:t>
      </w:r>
      <w:r w:rsidR="003425AF">
        <w:t xml:space="preserve">majority of </w:t>
      </w:r>
      <w:r w:rsidR="002E3F34">
        <w:t>reportable domains</w:t>
      </w:r>
      <w:r w:rsidR="003425AF">
        <w:t xml:space="preserve">, minority (African American, Asian and Hispanic) utility customers </w:t>
      </w:r>
      <w:r w:rsidR="003E2FD3">
        <w:t xml:space="preserve">on average </w:t>
      </w:r>
      <w:r w:rsidR="003425AF">
        <w:t xml:space="preserve">use less </w:t>
      </w:r>
      <w:r w:rsidR="009A45DB">
        <w:t>electricity than the statewide residential average and less than their Caucasian counterparts</w:t>
      </w:r>
      <w:r w:rsidR="00C15E38">
        <w:t>;</w:t>
      </w:r>
      <w:r w:rsidR="00293C7D">
        <w:rPr>
          <w:rStyle w:val="EndnoteReference"/>
        </w:rPr>
        <w:endnoteReference w:id="6"/>
      </w:r>
      <w:r w:rsidR="009A45DB">
        <w:t xml:space="preserve"> and </w:t>
      </w:r>
    </w:p>
    <w:p w:rsidR="006D46C6" w:rsidRDefault="006D46C6" w:rsidP="00771C24">
      <w:pPr>
        <w:suppressLineNumbers/>
        <w:autoSpaceDE w:val="0"/>
        <w:autoSpaceDN w:val="0"/>
        <w:adjustRightInd w:val="0"/>
      </w:pPr>
    </w:p>
    <w:p w:rsidR="006D46C6" w:rsidRDefault="006D46C6" w:rsidP="006D46C6">
      <w:pPr>
        <w:autoSpaceDE w:val="0"/>
        <w:autoSpaceDN w:val="0"/>
        <w:adjustRightInd w:val="0"/>
      </w:pPr>
      <w:r>
        <w:rPr>
          <w:b/>
          <w:i/>
        </w:rPr>
        <w:t xml:space="preserve">Whereas, </w:t>
      </w:r>
      <w:r w:rsidRPr="006859C1">
        <w:t xml:space="preserve">data from the U.S. Department of Energy’s Residential Energy </w:t>
      </w:r>
      <w:r>
        <w:t>C</w:t>
      </w:r>
      <w:r w:rsidRPr="006859C1">
        <w:t xml:space="preserve">onsumption Survey for the Midwest Census region, show that natural gas consumption </w:t>
      </w:r>
      <w:r w:rsidR="005567D1">
        <w:t>increases</w:t>
      </w:r>
      <w:r w:rsidRPr="006859C1">
        <w:t xml:space="preserve"> as income </w:t>
      </w:r>
      <w:r w:rsidR="005567D1">
        <w:t>increases</w:t>
      </w:r>
      <w:r w:rsidRPr="006859C1">
        <w:t>, and that higher</w:t>
      </w:r>
      <w:r>
        <w:t xml:space="preserve"> </w:t>
      </w:r>
      <w:r w:rsidRPr="006859C1">
        <w:t>incomes lead to occupation of larger sizes of housing units</w:t>
      </w:r>
      <w:r w:rsidR="00C15E38">
        <w:t>,</w:t>
      </w:r>
      <w:r w:rsidR="00AB7DB2">
        <w:rPr>
          <w:rStyle w:val="EndnoteReference"/>
        </w:rPr>
        <w:endnoteReference w:id="7"/>
      </w:r>
      <w:r>
        <w:t xml:space="preserve"> thereby increasing the likelihood of higher gas utility usage</w:t>
      </w:r>
      <w:r w:rsidR="000C5EF1">
        <w:t>, and that natural gas usage increases as income increases in the vast majority of reportable domains throughout the U.S</w:t>
      </w:r>
      <w:r>
        <w:t>;</w:t>
      </w:r>
      <w:r w:rsidR="00AB7DB2">
        <w:rPr>
          <w:rStyle w:val="EndnoteReference"/>
        </w:rPr>
        <w:endnoteReference w:id="8"/>
      </w:r>
      <w:r>
        <w:t xml:space="preserve"> and </w:t>
      </w:r>
    </w:p>
    <w:p w:rsidR="009A45DB" w:rsidRDefault="009A45DB" w:rsidP="00771C24">
      <w:pPr>
        <w:suppressLineNumbers/>
        <w:autoSpaceDE w:val="0"/>
        <w:autoSpaceDN w:val="0"/>
        <w:adjustRightInd w:val="0"/>
      </w:pPr>
    </w:p>
    <w:p w:rsidR="008863BD" w:rsidRDefault="009A45DB" w:rsidP="008863BD">
      <w:pPr>
        <w:autoSpaceDE w:val="0"/>
        <w:autoSpaceDN w:val="0"/>
        <w:adjustRightInd w:val="0"/>
      </w:pPr>
      <w:r>
        <w:rPr>
          <w:b/>
          <w:i/>
        </w:rPr>
        <w:t>Whereas</w:t>
      </w:r>
      <w:proofErr w:type="gramStart"/>
      <w:r>
        <w:rPr>
          <w:b/>
          <w:i/>
        </w:rPr>
        <w:t xml:space="preserve">, </w:t>
      </w:r>
      <w:r w:rsidR="003425AF">
        <w:t xml:space="preserve"> </w:t>
      </w:r>
      <w:r w:rsidR="00EC033E">
        <w:t>given</w:t>
      </w:r>
      <w:proofErr w:type="gramEnd"/>
      <w:r w:rsidR="00EC033E">
        <w:t xml:space="preserve"> </w:t>
      </w:r>
      <w:r w:rsidR="005567D1">
        <w:t xml:space="preserve">these </w:t>
      </w:r>
      <w:r w:rsidR="00EC033E">
        <w:t xml:space="preserve">documented </w:t>
      </w:r>
      <w:r w:rsidR="000C5EF1">
        <w:t>u</w:t>
      </w:r>
      <w:r w:rsidR="00EC033E">
        <w:t>sage patterns,</w:t>
      </w:r>
      <w:r w:rsidR="003425AF">
        <w:t xml:space="preserve"> </w:t>
      </w:r>
      <w:r w:rsidR="008863BD">
        <w:t xml:space="preserve">the imposition of </w:t>
      </w:r>
      <w:r w:rsidR="000C5EF1">
        <w:t xml:space="preserve">high customer charge or </w:t>
      </w:r>
      <w:r w:rsidR="008863BD">
        <w:t xml:space="preserve">SFV rates </w:t>
      </w:r>
      <w:r w:rsidR="00EC033E">
        <w:t>unjustly shift</w:t>
      </w:r>
      <w:r w:rsidR="004C41E7">
        <w:t>s</w:t>
      </w:r>
      <w:r w:rsidR="00EC033E">
        <w:t xml:space="preserve"> costs and </w:t>
      </w:r>
      <w:r w:rsidR="008863BD" w:rsidRPr="008863BD">
        <w:rPr>
          <w:rFonts w:eastAsiaTheme="minorHAnsi"/>
        </w:rPr>
        <w:t>disproportionate</w:t>
      </w:r>
      <w:r w:rsidR="008863BD">
        <w:rPr>
          <w:rFonts w:eastAsiaTheme="minorHAnsi"/>
        </w:rPr>
        <w:t>ly</w:t>
      </w:r>
      <w:r w:rsidR="008863BD" w:rsidRPr="008863BD">
        <w:rPr>
          <w:rFonts w:eastAsiaTheme="minorHAnsi"/>
        </w:rPr>
        <w:t xml:space="preserve"> harm</w:t>
      </w:r>
      <w:r w:rsidR="004C41E7">
        <w:rPr>
          <w:rFonts w:eastAsiaTheme="minorHAnsi"/>
        </w:rPr>
        <w:t>s</w:t>
      </w:r>
      <w:r w:rsidR="008863BD" w:rsidRPr="008863BD">
        <w:rPr>
          <w:rFonts w:eastAsiaTheme="minorHAnsi"/>
        </w:rPr>
        <w:t xml:space="preserve"> low-income, elderly, </w:t>
      </w:r>
      <w:r w:rsidR="008863BD">
        <w:rPr>
          <w:rFonts w:eastAsiaTheme="minorHAnsi"/>
        </w:rPr>
        <w:t>and minority</w:t>
      </w:r>
      <w:r w:rsidR="008863BD" w:rsidRPr="008863BD">
        <w:rPr>
          <w:rFonts w:eastAsiaTheme="minorHAnsi"/>
        </w:rPr>
        <w:t xml:space="preserve"> ratepayers,</w:t>
      </w:r>
      <w:r w:rsidR="00EC033E">
        <w:rPr>
          <w:rFonts w:eastAsiaTheme="minorHAnsi"/>
        </w:rPr>
        <w:t xml:space="preserve"> </w:t>
      </w:r>
      <w:r w:rsidR="00133C06">
        <w:rPr>
          <w:rFonts w:eastAsiaTheme="minorHAnsi"/>
        </w:rPr>
        <w:t xml:space="preserve">in addition to low-users of gas and electric utility service in general; </w:t>
      </w:r>
      <w:r w:rsidR="00EC033E">
        <w:rPr>
          <w:rFonts w:eastAsiaTheme="minorHAnsi"/>
        </w:rPr>
        <w:t>and</w:t>
      </w:r>
    </w:p>
    <w:p w:rsidR="008863BD" w:rsidRDefault="008863BD" w:rsidP="00771C24">
      <w:pPr>
        <w:suppressLineNumbers/>
      </w:pPr>
    </w:p>
    <w:p w:rsidR="00E106BE" w:rsidRDefault="00EC033E" w:rsidP="00EC0746">
      <w:r>
        <w:rPr>
          <w:b/>
          <w:i/>
        </w:rPr>
        <w:t xml:space="preserve">Whereas, </w:t>
      </w:r>
      <w:r w:rsidR="00FC3437">
        <w:t xml:space="preserve">because </w:t>
      </w:r>
      <w:r w:rsidR="00E106BE">
        <w:t xml:space="preserve">the imposition of </w:t>
      </w:r>
      <w:r w:rsidR="000C5EF1">
        <w:t xml:space="preserve">high customer charge or </w:t>
      </w:r>
      <w:r w:rsidR="00E106BE">
        <w:t xml:space="preserve">SFV rates </w:t>
      </w:r>
      <w:r w:rsidR="00133C06">
        <w:t>results in</w:t>
      </w:r>
      <w:r w:rsidR="00E106BE">
        <w:t xml:space="preserve"> a smaller </w:t>
      </w:r>
      <w:r w:rsidR="004E52E1">
        <w:t>percentage</w:t>
      </w:r>
      <w:r w:rsidR="00E106BE">
        <w:t xml:space="preserve"> of a customer’s utility bill </w:t>
      </w:r>
      <w:r w:rsidR="00465E58">
        <w:t>consisting of variable</w:t>
      </w:r>
      <w:r w:rsidR="00E106BE">
        <w:t xml:space="preserve"> usage charges, customers</w:t>
      </w:r>
      <w:r w:rsidR="004E52E1">
        <w:t>’</w:t>
      </w:r>
      <w:r w:rsidR="00E106BE">
        <w:t xml:space="preserve"> incentive to engage in </w:t>
      </w:r>
      <w:r>
        <w:t>conservation a</w:t>
      </w:r>
      <w:r w:rsidR="00896363">
        <w:t>s well as</w:t>
      </w:r>
      <w:r>
        <w:t xml:space="preserve"> federal and state </w:t>
      </w:r>
      <w:r w:rsidR="00E106BE">
        <w:t xml:space="preserve">energy efficiency </w:t>
      </w:r>
      <w:r>
        <w:t xml:space="preserve">programs </w:t>
      </w:r>
      <w:r w:rsidR="00E106BE">
        <w:t xml:space="preserve">is significantly reduced; and </w:t>
      </w:r>
    </w:p>
    <w:p w:rsidR="00133C06" w:rsidRDefault="00133C06" w:rsidP="00771C24">
      <w:pPr>
        <w:suppressLineNumbers/>
      </w:pPr>
    </w:p>
    <w:p w:rsidR="00133C06" w:rsidRDefault="00133C06" w:rsidP="00EC0746">
      <w:r w:rsidRPr="00133C06">
        <w:rPr>
          <w:b/>
          <w:i/>
        </w:rPr>
        <w:t>Whereas,</w:t>
      </w:r>
      <w:r>
        <w:rPr>
          <w:b/>
        </w:rPr>
        <w:t xml:space="preserve"> </w:t>
      </w:r>
      <w:r>
        <w:t xml:space="preserve">NASUCA </w:t>
      </w:r>
      <w:r w:rsidRPr="00133C06">
        <w:t>support</w:t>
      </w:r>
      <w:r>
        <w:t>s</w:t>
      </w:r>
      <w:r w:rsidRPr="00133C06">
        <w:t xml:space="preserve"> the adoption of cost-effective energy efficiency programs as a means to reduce customer utility bills, help mitigate the need for new utility infrastructure, and provide important environmental benefits; and</w:t>
      </w:r>
    </w:p>
    <w:p w:rsidR="00E106BE" w:rsidRDefault="00E106BE" w:rsidP="00771C24">
      <w:pPr>
        <w:suppressLineNumbers/>
      </w:pPr>
    </w:p>
    <w:p w:rsidR="00E106BE" w:rsidRDefault="00E106BE" w:rsidP="00EC0746">
      <w:r>
        <w:rPr>
          <w:b/>
          <w:i/>
        </w:rPr>
        <w:t>Wher</w:t>
      </w:r>
      <w:r w:rsidR="006D46C6">
        <w:rPr>
          <w:b/>
          <w:i/>
        </w:rPr>
        <w:t>e</w:t>
      </w:r>
      <w:r>
        <w:rPr>
          <w:b/>
          <w:i/>
        </w:rPr>
        <w:t xml:space="preserve">as, </w:t>
      </w:r>
      <w:r w:rsidR="003E2FD3">
        <w:t xml:space="preserve">given that the imposition of </w:t>
      </w:r>
      <w:r w:rsidR="000C5EF1">
        <w:t xml:space="preserve">high customer charge or </w:t>
      </w:r>
      <w:r w:rsidR="003E2FD3">
        <w:t xml:space="preserve">SFV rates means that a smaller percentage of a customer’s utility bill is derived from variable usage charges, the imposition of </w:t>
      </w:r>
      <w:r w:rsidR="004E52E1">
        <w:t xml:space="preserve">SFV-type rates </w:t>
      </w:r>
      <w:r>
        <w:t>reduce</w:t>
      </w:r>
      <w:r w:rsidR="00465E58">
        <w:t>s</w:t>
      </w:r>
      <w:r>
        <w:t xml:space="preserve"> the ability of utility customers to </w:t>
      </w:r>
      <w:r w:rsidR="00465E58">
        <w:t xml:space="preserve">manage and </w:t>
      </w:r>
      <w:r>
        <w:t>control the size of their utility bills</w:t>
      </w:r>
      <w:proofErr w:type="gramStart"/>
      <w:r w:rsidR="004E52E1">
        <w:t>;</w:t>
      </w:r>
      <w:proofErr w:type="gramEnd"/>
      <w:r w:rsidR="004E52E1">
        <w:t xml:space="preserve"> </w:t>
      </w:r>
    </w:p>
    <w:p w:rsidR="00CE3FB9" w:rsidRDefault="00CE3FB9" w:rsidP="00C15E38">
      <w:pPr>
        <w:suppressLineNumbers/>
      </w:pPr>
    </w:p>
    <w:p w:rsidR="00EC0746" w:rsidRPr="00EC0746" w:rsidRDefault="00EC0746" w:rsidP="00EC0746">
      <w:pPr>
        <w:rPr>
          <w:b/>
        </w:rPr>
      </w:pPr>
      <w:r w:rsidRPr="00EC0746">
        <w:rPr>
          <w:b/>
          <w:i/>
        </w:rPr>
        <w:t>Now, therefore, be it resolved</w:t>
      </w:r>
      <w:r w:rsidRPr="00EC0746">
        <w:rPr>
          <w:b/>
        </w:rPr>
        <w:t xml:space="preserve">, </w:t>
      </w:r>
      <w:r w:rsidRPr="00EC0746">
        <w:t xml:space="preserve">that NASUCA continues its long tradition of support for the universal provision of </w:t>
      </w:r>
      <w:r w:rsidR="004F0481">
        <w:t>least-cost,</w:t>
      </w:r>
      <w:r w:rsidRPr="00EC0746">
        <w:t> essential residential gas and electric service for all customers</w:t>
      </w:r>
      <w:r w:rsidRPr="00EC0746">
        <w:rPr>
          <w:b/>
        </w:rPr>
        <w:t>;</w:t>
      </w:r>
    </w:p>
    <w:p w:rsidR="00EC0746" w:rsidRPr="00EC0746" w:rsidRDefault="00EC0746" w:rsidP="00EC0746">
      <w:pPr>
        <w:suppressLineNumbers/>
      </w:pPr>
    </w:p>
    <w:p w:rsidR="00EC0746" w:rsidRPr="00EC0746" w:rsidRDefault="00EC0746" w:rsidP="00EC0746">
      <w:r w:rsidRPr="00EC0746">
        <w:rPr>
          <w:b/>
          <w:i/>
        </w:rPr>
        <w:lastRenderedPageBreak/>
        <w:t xml:space="preserve">Be it further resolved, </w:t>
      </w:r>
      <w:r w:rsidRPr="00EC0746">
        <w:t xml:space="preserve">that NASUCA </w:t>
      </w:r>
      <w:r w:rsidRPr="00EC0746">
        <w:rPr>
          <w:i/>
          <w:iCs/>
        </w:rPr>
        <w:t>opposes</w:t>
      </w:r>
      <w:r w:rsidRPr="00EC0746">
        <w:t xml:space="preserve"> proposals by utility companies that seek to</w:t>
      </w:r>
      <w:r w:rsidR="00D02BCE">
        <w:t xml:space="preserve"> increase the percentage of revenues recovered through the flat, monthly customer charges on residential customer utility bills </w:t>
      </w:r>
      <w:r w:rsidR="000C5EF1">
        <w:t xml:space="preserve">and </w:t>
      </w:r>
      <w:r w:rsidR="00D02BCE">
        <w:t>the imposition of SFV rates</w:t>
      </w:r>
      <w:proofErr w:type="gramStart"/>
      <w:r w:rsidR="00D02BCE" w:rsidRPr="00EC0746">
        <w:t>;</w:t>
      </w:r>
      <w:proofErr w:type="gramEnd"/>
      <w:r w:rsidRPr="00EC0746">
        <w:t xml:space="preserve"> </w:t>
      </w:r>
    </w:p>
    <w:p w:rsidR="00EC0746" w:rsidRPr="00EC0746" w:rsidRDefault="00EC0746" w:rsidP="00EC0746">
      <w:pPr>
        <w:suppressLineNumbers/>
      </w:pPr>
    </w:p>
    <w:p w:rsidR="006D46C6" w:rsidRPr="00EC0746" w:rsidRDefault="00EC0746" w:rsidP="006D46C6">
      <w:r w:rsidRPr="00EC0746">
        <w:rPr>
          <w:b/>
          <w:i/>
        </w:rPr>
        <w:t>Be it further resolved</w:t>
      </w:r>
      <w:r w:rsidRPr="00EC0746">
        <w:rPr>
          <w:b/>
        </w:rPr>
        <w:t xml:space="preserve">, </w:t>
      </w:r>
      <w:r w:rsidR="006D46C6">
        <w:t>that NASUCA urges state public service commissions to reject gas and electric utility rate design proposals that seek to substantially increase the percentage of revenues recovered through the flat, monthly customer charges on residential customer utility bills</w:t>
      </w:r>
      <w:r w:rsidR="005567D1">
        <w:t xml:space="preserve"> – proposals that</w:t>
      </w:r>
      <w:r w:rsidR="006D46C6">
        <w:t xml:space="preserve"> disproportionately and inequitably </w:t>
      </w:r>
      <w:r w:rsidR="009A4ADB">
        <w:t>increase the rates of low usage customers, a group that often includes</w:t>
      </w:r>
      <w:r w:rsidR="006D46C6">
        <w:t xml:space="preserve"> </w:t>
      </w:r>
      <w:r w:rsidR="00465E58">
        <w:t xml:space="preserve">low-income, </w:t>
      </w:r>
      <w:r w:rsidR="006D46C6">
        <w:t>elderly and minority customers</w:t>
      </w:r>
      <w:r w:rsidR="009A4ADB">
        <w:t>,</w:t>
      </w:r>
      <w:r w:rsidR="006D46C6">
        <w:t xml:space="preserve"> throughout the United States</w:t>
      </w:r>
      <w:r w:rsidR="006D46C6" w:rsidRPr="00EC0746">
        <w:t xml:space="preserve">; </w:t>
      </w:r>
    </w:p>
    <w:p w:rsidR="00EC0746" w:rsidRPr="00EC0746" w:rsidRDefault="00EC0746" w:rsidP="00EC0746">
      <w:pPr>
        <w:suppressLineNumbers/>
      </w:pPr>
    </w:p>
    <w:p w:rsidR="00EC0746" w:rsidRDefault="00EC0746" w:rsidP="006D46C6">
      <w:r w:rsidRPr="00EC0746">
        <w:rPr>
          <w:b/>
          <w:i/>
        </w:rPr>
        <w:t>Be it further resolved</w:t>
      </w:r>
      <w:r w:rsidRPr="00EC0746">
        <w:t xml:space="preserve">, that </w:t>
      </w:r>
      <w:r w:rsidR="006D46C6">
        <w:t xml:space="preserve">state public service commissions should promote and adopt gas and electric rate design </w:t>
      </w:r>
      <w:r w:rsidR="00465E58">
        <w:t>policy</w:t>
      </w:r>
      <w:r w:rsidR="006D46C6">
        <w:t xml:space="preserve"> that minimize</w:t>
      </w:r>
      <w:r w:rsidR="00465E58">
        <w:t>s</w:t>
      </w:r>
      <w:r w:rsidR="006D46C6">
        <w:t xml:space="preserve"> monthly customer charge</w:t>
      </w:r>
      <w:r w:rsidR="00465E58">
        <w:t>s</w:t>
      </w:r>
      <w:r w:rsidR="006D46C6">
        <w:t xml:space="preserve"> </w:t>
      </w:r>
      <w:r w:rsidR="00465E58">
        <w:t>of residential</w:t>
      </w:r>
      <w:r w:rsidR="006D46C6">
        <w:t xml:space="preserve"> gas and electric utility customers in order to ensure that delivery service rates are equitable, cost-based, </w:t>
      </w:r>
      <w:r w:rsidR="00465E58">
        <w:t>least-cost</w:t>
      </w:r>
      <w:r w:rsidR="006D46C6">
        <w:t>, and encourage customer adoption of conservation and federal and state energy efficiency programs.</w:t>
      </w:r>
    </w:p>
    <w:p w:rsidR="004E11B7" w:rsidRDefault="004E11B7" w:rsidP="00293C7D">
      <w:pPr>
        <w:suppressLineNumbers/>
      </w:pPr>
    </w:p>
    <w:p w:rsidR="004E11B7" w:rsidRDefault="004E11B7" w:rsidP="006D46C6">
      <w:r w:rsidRPr="004E11B7">
        <w:rPr>
          <w:b/>
          <w:i/>
        </w:rPr>
        <w:t>B</w:t>
      </w:r>
      <w:r>
        <w:rPr>
          <w:b/>
          <w:i/>
        </w:rPr>
        <w:t>e it further resolved</w:t>
      </w:r>
      <w:r w:rsidRPr="004E11B7">
        <w:t xml:space="preserve"> that NASUCA authorizes its Executive Committee to develop specific positions and to take appropriate actions consistent with the terms of this resolution. </w:t>
      </w:r>
    </w:p>
    <w:p w:rsidR="00E376CD" w:rsidRDefault="00E376CD" w:rsidP="00771C24">
      <w:pPr>
        <w:suppressLineNumbers/>
      </w:pPr>
    </w:p>
    <w:p w:rsidR="00E376CD" w:rsidRDefault="00E376CD" w:rsidP="00771C24">
      <w:pPr>
        <w:suppressLineNumbers/>
      </w:pPr>
    </w:p>
    <w:p w:rsidR="00E376CD" w:rsidRPr="00EC0746" w:rsidRDefault="00E376CD" w:rsidP="00771C24">
      <w:pPr>
        <w:suppressLineNumbers/>
      </w:pPr>
    </w:p>
    <w:p w:rsidR="00EC0746" w:rsidRPr="00EC0746" w:rsidRDefault="00E376CD" w:rsidP="00771C24">
      <w:pPr>
        <w:suppressLineNumbers/>
      </w:pPr>
      <w:r>
        <w:t xml:space="preserve">Submitted </w:t>
      </w:r>
      <w:r w:rsidR="00EC0746" w:rsidRPr="00EC0746">
        <w:t>by</w:t>
      </w:r>
      <w:r>
        <w:t xml:space="preserve"> </w:t>
      </w:r>
      <w:r w:rsidR="00EC0746" w:rsidRPr="00EC0746">
        <w:t>Consumer Protection Committee</w:t>
      </w:r>
    </w:p>
    <w:p w:rsidR="00EC0746" w:rsidRPr="00EC0746" w:rsidRDefault="00EC0746" w:rsidP="00133C06">
      <w:pPr>
        <w:suppressLineNumbers/>
      </w:pPr>
      <w:r w:rsidRPr="00EC0746">
        <w:tab/>
      </w:r>
      <w:r w:rsidRPr="00EC0746">
        <w:tab/>
      </w:r>
      <w:r w:rsidRPr="00EC0746">
        <w:tab/>
      </w:r>
      <w:r w:rsidRPr="00EC0746">
        <w:tab/>
      </w:r>
      <w:r w:rsidRPr="00EC0746">
        <w:tab/>
      </w:r>
      <w:r w:rsidRPr="00EC0746">
        <w:tab/>
      </w:r>
    </w:p>
    <w:p w:rsidR="00561F9B" w:rsidRDefault="00E376CD" w:rsidP="00293C7D">
      <w:pPr>
        <w:suppressLineNumbers/>
      </w:pPr>
      <w:r>
        <w:t xml:space="preserve">Approved </w:t>
      </w:r>
      <w:r w:rsidR="00465E58">
        <w:t>June</w:t>
      </w:r>
      <w:r w:rsidR="009A4ADB">
        <w:t xml:space="preserve"> 9</w:t>
      </w:r>
      <w:r w:rsidR="00465E58">
        <w:t>, 2015</w:t>
      </w:r>
    </w:p>
    <w:p w:rsidR="00E376CD" w:rsidRDefault="00E376CD" w:rsidP="00293C7D">
      <w:pPr>
        <w:suppressLineNumbers/>
      </w:pPr>
      <w:r>
        <w:t>Philadelphia, Pennsylvania</w:t>
      </w:r>
      <w:r w:rsidR="009A4ADB">
        <w:br/>
      </w:r>
      <w:r w:rsidR="009A4ADB">
        <w:br/>
        <w:t>No Vote: Wyoming</w:t>
      </w:r>
      <w:r w:rsidR="009A4ADB">
        <w:br/>
        <w:t>Abstention: Vermont</w:t>
      </w:r>
    </w:p>
    <w:p w:rsidR="00E376CD" w:rsidRDefault="00E376CD" w:rsidP="00293C7D">
      <w:pPr>
        <w:suppressLineNumbers/>
      </w:pPr>
    </w:p>
    <w:p w:rsidR="00E376CD" w:rsidRDefault="00E376CD" w:rsidP="00293C7D">
      <w:pPr>
        <w:suppressLineNumbers/>
      </w:pPr>
      <w:bookmarkStart w:id="0" w:name="_GoBack"/>
      <w:bookmarkEnd w:id="0"/>
    </w:p>
    <w:p w:rsidR="00E376CD" w:rsidRPr="00EC0746" w:rsidRDefault="00E376CD" w:rsidP="00293C7D">
      <w:pPr>
        <w:suppressLineNumbers/>
      </w:pPr>
    </w:p>
    <w:sectPr w:rsidR="00E376CD" w:rsidRPr="00EC0746" w:rsidSect="009A4ADB">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8D" w:rsidRDefault="0086358D" w:rsidP="00EC0746">
      <w:r>
        <w:separator/>
      </w:r>
    </w:p>
  </w:endnote>
  <w:endnote w:type="continuationSeparator" w:id="0">
    <w:p w:rsidR="0086358D" w:rsidRDefault="0086358D" w:rsidP="00EC0746">
      <w:r>
        <w:continuationSeparator/>
      </w:r>
    </w:p>
  </w:endnote>
  <w:endnote w:id="1">
    <w:p w:rsidR="00E376CD" w:rsidRDefault="00E376CD" w:rsidP="00771C24">
      <w:pPr>
        <w:pStyle w:val="EndnoteText"/>
        <w:ind w:firstLine="720"/>
      </w:pPr>
      <w:r>
        <w:rPr>
          <w:rStyle w:val="EndnoteReference"/>
        </w:rPr>
        <w:endnoteRef/>
      </w:r>
      <w:r>
        <w:rPr>
          <w:i/>
        </w:rPr>
        <w:t xml:space="preserve">See, e.g., </w:t>
      </w:r>
      <w:r>
        <w:t>Illinois Commerce Commission Docket No. 14-0244/0225</w:t>
      </w:r>
      <w:proofErr w:type="gramStart"/>
      <w:r>
        <w:t xml:space="preserve">,  </w:t>
      </w:r>
      <w:r>
        <w:rPr>
          <w:i/>
        </w:rPr>
        <w:t>Peoples</w:t>
      </w:r>
      <w:proofErr w:type="gramEnd"/>
      <w:r>
        <w:rPr>
          <w:i/>
        </w:rPr>
        <w:t xml:space="preserve"> Gas Light &amp; Coke Co. – Proposed Increase in Delivery Service Rates, </w:t>
      </w:r>
      <w:r>
        <w:t xml:space="preserve">PGL Ex. 14.2, p. 1, lines 8, 14, 38 and 42, col. D; Illinois Commerce Commission Docket No. 13-0384, </w:t>
      </w:r>
      <w:r>
        <w:rPr>
          <w:i/>
        </w:rPr>
        <w:t xml:space="preserve">Commonwealth Edison Company, </w:t>
      </w:r>
      <w:r>
        <w:t xml:space="preserve">AG Ex. 1.0 at 12-13, </w:t>
      </w:r>
      <w:r>
        <w:rPr>
          <w:i/>
        </w:rPr>
        <w:t xml:space="preserve">citing </w:t>
      </w:r>
      <w:proofErr w:type="spellStart"/>
      <w:r>
        <w:t>ComEd</w:t>
      </w:r>
      <w:proofErr w:type="spellEnd"/>
      <w:r>
        <w:t xml:space="preserve"> Ex. 3.01, Sch. 2A, p. 13, col. Tot. </w:t>
      </w:r>
      <w:proofErr w:type="gramStart"/>
      <w:r>
        <w:t>ICC, line 248.</w:t>
      </w:r>
      <w:proofErr w:type="gramEnd"/>
      <w:r>
        <w:t xml:space="preserve">  </w:t>
      </w:r>
    </w:p>
    <w:p w:rsidR="00771C24" w:rsidRDefault="00771C24" w:rsidP="00771C24">
      <w:pPr>
        <w:pStyle w:val="EndnoteText"/>
        <w:ind w:firstLine="720"/>
      </w:pPr>
    </w:p>
  </w:endnote>
  <w:endnote w:id="2">
    <w:p w:rsidR="00771C24" w:rsidRDefault="00771C24" w:rsidP="00771C24">
      <w:pPr>
        <w:pStyle w:val="EndnoteText"/>
        <w:ind w:firstLine="720"/>
      </w:pPr>
      <w:r>
        <w:rPr>
          <w:rStyle w:val="EndnoteReference"/>
        </w:rPr>
        <w:endnoteRef/>
      </w:r>
      <w:proofErr w:type="gramStart"/>
      <w:r>
        <w:t>ICC Docket No. 14-0224/0225,</w:t>
      </w:r>
      <w:r>
        <w:rPr>
          <w:i/>
        </w:rPr>
        <w:t xml:space="preserve"> </w:t>
      </w:r>
      <w:r>
        <w:t>AG Ex. AG/ELPC Ex. 3.0 at 15, 25.</w:t>
      </w:r>
      <w:proofErr w:type="gramEnd"/>
    </w:p>
    <w:p w:rsidR="00293C7D" w:rsidRDefault="00293C7D" w:rsidP="00771C24">
      <w:pPr>
        <w:pStyle w:val="EndnoteText"/>
        <w:ind w:firstLine="720"/>
      </w:pPr>
    </w:p>
  </w:endnote>
  <w:endnote w:id="3">
    <w:p w:rsidR="00293C7D" w:rsidRDefault="00293C7D" w:rsidP="00293C7D">
      <w:pPr>
        <w:pStyle w:val="EndnoteText"/>
        <w:ind w:firstLine="720"/>
      </w:pPr>
      <w:r>
        <w:rPr>
          <w:rStyle w:val="EndnoteReference"/>
        </w:rPr>
        <w:endnoteRef/>
      </w:r>
      <w:r>
        <w:t>The U.S. Energy Information Administration’s Residential Energy Consumption Survey provides detailed household energy usage and demographic data for 27 states or regions of the U.S. referred to as “reportable domains.”</w:t>
      </w:r>
    </w:p>
    <w:p w:rsidR="00293C7D" w:rsidRDefault="00293C7D" w:rsidP="00293C7D">
      <w:pPr>
        <w:pStyle w:val="EndnoteText"/>
        <w:ind w:firstLine="720"/>
      </w:pPr>
    </w:p>
  </w:endnote>
  <w:endnote w:id="4">
    <w:p w:rsidR="00293C7D" w:rsidRPr="008863BD" w:rsidRDefault="00293C7D" w:rsidP="00293C7D">
      <w:pPr>
        <w:pStyle w:val="FootnoteText"/>
        <w:ind w:firstLine="720"/>
      </w:pPr>
      <w:r>
        <w:rPr>
          <w:rStyle w:val="EndnoteReference"/>
        </w:rPr>
        <w:endnoteRef/>
      </w:r>
      <w:r>
        <w:rPr>
          <w:i/>
        </w:rPr>
        <w:t xml:space="preserve">See </w:t>
      </w:r>
      <w:r w:rsidR="00574DC5">
        <w:t xml:space="preserve">Wis. Pub. Serv. </w:t>
      </w:r>
      <w:proofErr w:type="spellStart"/>
      <w:r w:rsidR="00574DC5">
        <w:t>Com’n</w:t>
      </w:r>
      <w:proofErr w:type="spellEnd"/>
      <w:r w:rsidR="00574DC5">
        <w:t xml:space="preserve"> </w:t>
      </w:r>
      <w:r>
        <w:t xml:space="preserve">Docket No. 3270-UR-120, </w:t>
      </w:r>
      <w:r>
        <w:rPr>
          <w:i/>
        </w:rPr>
        <w:t xml:space="preserve">Application of Madison Gas and Electric Co. for Authority to Adjust Electric and Natur4al Gas Rates, </w:t>
      </w:r>
      <w:r>
        <w:t xml:space="preserve">Public Comments of John </w:t>
      </w:r>
      <w:proofErr w:type="spellStart"/>
      <w:r>
        <w:t>Howat</w:t>
      </w:r>
      <w:proofErr w:type="spellEnd"/>
      <w:r>
        <w:t xml:space="preserve">, National Consumer Law Center, October 3, 2014, </w:t>
      </w:r>
      <w:r w:rsidRPr="008863BD">
        <w:rPr>
          <w:i/>
        </w:rPr>
        <w:t xml:space="preserve">citing </w:t>
      </w:r>
      <w:r>
        <w:t xml:space="preserve">2009 U.S. EIA Residential Energy Consumption Survey data by “Reportable Domain” at 5-6. </w:t>
      </w:r>
    </w:p>
    <w:p w:rsidR="00293C7D" w:rsidRDefault="00293C7D">
      <w:pPr>
        <w:pStyle w:val="EndnoteText"/>
      </w:pPr>
    </w:p>
  </w:endnote>
  <w:endnote w:id="5">
    <w:p w:rsidR="00293C7D" w:rsidRDefault="00293C7D" w:rsidP="00293C7D">
      <w:pPr>
        <w:pStyle w:val="EndnoteText"/>
        <w:ind w:firstLine="720"/>
      </w:pPr>
      <w:r>
        <w:rPr>
          <w:rStyle w:val="EndnoteReference"/>
        </w:rPr>
        <w:endnoteRef/>
      </w:r>
      <w:proofErr w:type="gramStart"/>
      <w:r>
        <w:rPr>
          <w:i/>
        </w:rPr>
        <w:t>Id.</w:t>
      </w:r>
      <w:r>
        <w:t xml:space="preserve"> at 7-8.</w:t>
      </w:r>
      <w:proofErr w:type="gramEnd"/>
    </w:p>
    <w:p w:rsidR="00293C7D" w:rsidRDefault="00293C7D" w:rsidP="00293C7D">
      <w:pPr>
        <w:pStyle w:val="EndnoteText"/>
        <w:ind w:firstLine="720"/>
      </w:pPr>
    </w:p>
  </w:endnote>
  <w:endnote w:id="6">
    <w:p w:rsidR="00293C7D" w:rsidRDefault="00293C7D" w:rsidP="00293C7D">
      <w:pPr>
        <w:pStyle w:val="EndnoteText"/>
        <w:ind w:firstLine="720"/>
      </w:pPr>
      <w:r>
        <w:rPr>
          <w:rStyle w:val="EndnoteReference"/>
        </w:rPr>
        <w:endnoteRef/>
      </w:r>
      <w:proofErr w:type="gramStart"/>
      <w:r>
        <w:t>U.S. Energy Information Administration, 2009 Residential Energy Consumption Survey.</w:t>
      </w:r>
      <w:proofErr w:type="gramEnd"/>
    </w:p>
    <w:p w:rsidR="00AB7DB2" w:rsidRDefault="00AB7DB2" w:rsidP="00293C7D">
      <w:pPr>
        <w:pStyle w:val="EndnoteText"/>
        <w:ind w:firstLine="720"/>
      </w:pPr>
    </w:p>
  </w:endnote>
  <w:endnote w:id="7">
    <w:p w:rsidR="00AB7DB2" w:rsidRDefault="00AB7DB2" w:rsidP="00AB7DB2">
      <w:pPr>
        <w:pStyle w:val="EndnoteText"/>
        <w:ind w:firstLine="720"/>
      </w:pPr>
      <w:r>
        <w:rPr>
          <w:rStyle w:val="EndnoteReference"/>
        </w:rPr>
        <w:endnoteRef/>
      </w:r>
      <w:r>
        <w:rPr>
          <w:i/>
        </w:rPr>
        <w:t xml:space="preserve">See </w:t>
      </w:r>
      <w:r>
        <w:t xml:space="preserve">ICC Docket No. 14-0224/0225, </w:t>
      </w:r>
      <w:r>
        <w:rPr>
          <w:i/>
        </w:rPr>
        <w:t xml:space="preserve">North Shore Gas, Peoples Gas Light &amp; Coke Company – Proposed Increase in Gas Rates, </w:t>
      </w:r>
      <w:r w:rsidRPr="006D46C6">
        <w:t>AG Ex. 4.0 at 11-12; AG Ex. 4.1, RDC-5, p.1-3.</w:t>
      </w:r>
    </w:p>
    <w:p w:rsidR="00AB7DB2" w:rsidRDefault="00AB7DB2" w:rsidP="00AB7DB2">
      <w:pPr>
        <w:pStyle w:val="EndnoteText"/>
        <w:ind w:firstLine="720"/>
      </w:pPr>
    </w:p>
  </w:endnote>
  <w:endnote w:id="8">
    <w:p w:rsidR="00AB7DB2" w:rsidRDefault="00AB7DB2" w:rsidP="00E233C2">
      <w:pPr>
        <w:pStyle w:val="EndnoteText"/>
        <w:ind w:firstLine="720"/>
      </w:pPr>
      <w:r>
        <w:rPr>
          <w:rStyle w:val="EndnoteReference"/>
        </w:rPr>
        <w:endnoteRef/>
      </w:r>
      <w:proofErr w:type="gramStart"/>
      <w:r>
        <w:t>U.S. Energy Information Administration, 2009 Residential Energy Consumption Survey.</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AC" w:rsidRDefault="00D052A3">
    <w:pPr>
      <w:pStyle w:val="Footer"/>
      <w:jc w:val="center"/>
    </w:pPr>
    <w:r>
      <w:fldChar w:fldCharType="begin"/>
    </w:r>
    <w:r>
      <w:instrText xml:space="preserve"> PAGE   \* MERGEFORMAT </w:instrText>
    </w:r>
    <w:r>
      <w:fldChar w:fldCharType="separate"/>
    </w:r>
    <w:r w:rsidR="009A4ADB">
      <w:rPr>
        <w:noProof/>
      </w:rPr>
      <w:t>3</w:t>
    </w:r>
    <w:r>
      <w:fldChar w:fldCharType="end"/>
    </w:r>
  </w:p>
  <w:p w:rsidR="009B4BAC" w:rsidRDefault="009A4A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8D" w:rsidRDefault="0086358D" w:rsidP="00EC0746">
      <w:r>
        <w:separator/>
      </w:r>
    </w:p>
  </w:footnote>
  <w:footnote w:type="continuationSeparator" w:id="0">
    <w:p w:rsidR="0086358D" w:rsidRDefault="0086358D" w:rsidP="00EC07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A50"/>
    <w:multiLevelType w:val="hybridMultilevel"/>
    <w:tmpl w:val="0396CCD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493062"/>
    <w:multiLevelType w:val="hybridMultilevel"/>
    <w:tmpl w:val="9B80F208"/>
    <w:lvl w:ilvl="0" w:tplc="04090001">
      <w:start w:val="1"/>
      <w:numFmt w:val="bullet"/>
      <w:lvlText w:val=""/>
      <w:lvlJc w:val="left"/>
      <w:pPr>
        <w:ind w:left="1440" w:hanging="360"/>
      </w:pPr>
      <w:rPr>
        <w:rFonts w:ascii="Symbol" w:hAnsi="Symbol" w:hint="default"/>
      </w:rPr>
    </w:lvl>
    <w:lvl w:ilvl="1" w:tplc="A0C66E86">
      <w:start w:val="5"/>
      <w:numFmt w:val="decimal"/>
      <w:lvlText w:val="%2."/>
      <w:lvlJc w:val="left"/>
      <w:pPr>
        <w:tabs>
          <w:tab w:val="num" w:pos="2160"/>
        </w:tabs>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C6CF4"/>
    <w:multiLevelType w:val="hybridMultilevel"/>
    <w:tmpl w:val="5632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763F64"/>
    <w:multiLevelType w:val="hybridMultilevel"/>
    <w:tmpl w:val="21C623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50E3731"/>
    <w:multiLevelType w:val="hybridMultilevel"/>
    <w:tmpl w:val="18D2AE50"/>
    <w:lvl w:ilvl="0" w:tplc="838C076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F95E62"/>
    <w:multiLevelType w:val="hybridMultilevel"/>
    <w:tmpl w:val="B4A830FE"/>
    <w:lvl w:ilvl="0" w:tplc="04090003">
      <w:start w:val="1"/>
      <w:numFmt w:val="bullet"/>
      <w:lvlText w:val="o"/>
      <w:lvlJc w:val="left"/>
      <w:pPr>
        <w:ind w:left="1800" w:hanging="360"/>
      </w:pPr>
      <w:rPr>
        <w:rFonts w:ascii="Courier New" w:hAnsi="Courier New" w:hint="default"/>
      </w:rPr>
    </w:lvl>
    <w:lvl w:ilvl="1" w:tplc="04090001">
      <w:start w:val="1"/>
      <w:numFmt w:val="bullet"/>
      <w:lvlText w:val=""/>
      <w:lvlJc w:val="left"/>
      <w:pPr>
        <w:tabs>
          <w:tab w:val="num" w:pos="2520"/>
        </w:tabs>
        <w:ind w:left="2520" w:hanging="360"/>
      </w:pPr>
      <w:rPr>
        <w:rFonts w:ascii="Symbol" w:hAnsi="Symbol" w:hint="default"/>
      </w:rPr>
    </w:lvl>
    <w:lvl w:ilvl="2" w:tplc="9EA0F866">
      <w:start w:val="5"/>
      <w:numFmt w:val="decimal"/>
      <w:lvlText w:val="%3."/>
      <w:lvlJc w:val="left"/>
      <w:pPr>
        <w:tabs>
          <w:tab w:val="num" w:pos="3240"/>
        </w:tabs>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B1071A2"/>
    <w:multiLevelType w:val="hybridMultilevel"/>
    <w:tmpl w:val="4F1094A0"/>
    <w:lvl w:ilvl="0" w:tplc="5B80AA2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D83683A"/>
    <w:multiLevelType w:val="hybridMultilevel"/>
    <w:tmpl w:val="FED2592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23F70AF"/>
    <w:multiLevelType w:val="hybridMultilevel"/>
    <w:tmpl w:val="94F88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DF5455"/>
    <w:multiLevelType w:val="hybridMultilevel"/>
    <w:tmpl w:val="2BAE1FAC"/>
    <w:lvl w:ilvl="0" w:tplc="8EEA1E5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905D07"/>
    <w:multiLevelType w:val="hybridMultilevel"/>
    <w:tmpl w:val="3864D41E"/>
    <w:lvl w:ilvl="0" w:tplc="6C92A1C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60E3F95"/>
    <w:multiLevelType w:val="hybridMultilevel"/>
    <w:tmpl w:val="14C2B16E"/>
    <w:lvl w:ilvl="0" w:tplc="04090001">
      <w:start w:val="1"/>
      <w:numFmt w:val="bullet"/>
      <w:lvlText w:val=""/>
      <w:lvlJc w:val="left"/>
      <w:pPr>
        <w:tabs>
          <w:tab w:val="num" w:pos="1800"/>
        </w:tabs>
        <w:ind w:left="1800" w:hanging="360"/>
      </w:pPr>
      <w:rPr>
        <w:rFonts w:ascii="Symbol" w:hAnsi="Symbol" w:hint="default"/>
      </w:rPr>
    </w:lvl>
    <w:lvl w:ilvl="1" w:tplc="A00A4E86">
      <w:start w:val="3"/>
      <w:numFmt w:val="none"/>
      <w:lvlText w:val="1."/>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8"/>
  </w:num>
  <w:num w:numId="3">
    <w:abstractNumId w:val="2"/>
  </w:num>
  <w:num w:numId="4">
    <w:abstractNumId w:val="5"/>
  </w:num>
  <w:num w:numId="5">
    <w:abstractNumId w:val="7"/>
  </w:num>
  <w:num w:numId="6">
    <w:abstractNumId w:val="3"/>
  </w:num>
  <w:num w:numId="7">
    <w:abstractNumId w:val="0"/>
  </w:num>
  <w:num w:numId="8">
    <w:abstractNumId w:val="11"/>
  </w:num>
  <w:num w:numId="9">
    <w:abstractNumId w:val="4"/>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46"/>
    <w:rsid w:val="00000CD8"/>
    <w:rsid w:val="000C5EF1"/>
    <w:rsid w:val="00133C06"/>
    <w:rsid w:val="00293C7D"/>
    <w:rsid w:val="002E3F34"/>
    <w:rsid w:val="003425AF"/>
    <w:rsid w:val="003E2FD3"/>
    <w:rsid w:val="00435D04"/>
    <w:rsid w:val="00447781"/>
    <w:rsid w:val="00465E58"/>
    <w:rsid w:val="004B69BF"/>
    <w:rsid w:val="004C41E7"/>
    <w:rsid w:val="004C517E"/>
    <w:rsid w:val="004E11B7"/>
    <w:rsid w:val="004E52E1"/>
    <w:rsid w:val="004F0481"/>
    <w:rsid w:val="00537110"/>
    <w:rsid w:val="005567D1"/>
    <w:rsid w:val="00561F9B"/>
    <w:rsid w:val="00574DC5"/>
    <w:rsid w:val="00585705"/>
    <w:rsid w:val="006414DE"/>
    <w:rsid w:val="006859C1"/>
    <w:rsid w:val="006D46C6"/>
    <w:rsid w:val="0077053B"/>
    <w:rsid w:val="00771C24"/>
    <w:rsid w:val="007801C0"/>
    <w:rsid w:val="00787140"/>
    <w:rsid w:val="00827624"/>
    <w:rsid w:val="0086358D"/>
    <w:rsid w:val="008863BD"/>
    <w:rsid w:val="00896363"/>
    <w:rsid w:val="008A3F36"/>
    <w:rsid w:val="008F2342"/>
    <w:rsid w:val="009A45DB"/>
    <w:rsid w:val="009A4ADB"/>
    <w:rsid w:val="009C5A69"/>
    <w:rsid w:val="00A42BEE"/>
    <w:rsid w:val="00A662B6"/>
    <w:rsid w:val="00A862BC"/>
    <w:rsid w:val="00AB7DB2"/>
    <w:rsid w:val="00B12D30"/>
    <w:rsid w:val="00B5210F"/>
    <w:rsid w:val="00B67D78"/>
    <w:rsid w:val="00B87432"/>
    <w:rsid w:val="00C15E38"/>
    <w:rsid w:val="00C17C2F"/>
    <w:rsid w:val="00CE3FB9"/>
    <w:rsid w:val="00D02BCE"/>
    <w:rsid w:val="00D052A3"/>
    <w:rsid w:val="00DC6171"/>
    <w:rsid w:val="00E10513"/>
    <w:rsid w:val="00E106BE"/>
    <w:rsid w:val="00E233C2"/>
    <w:rsid w:val="00E376CD"/>
    <w:rsid w:val="00E84161"/>
    <w:rsid w:val="00EA70F1"/>
    <w:rsid w:val="00EC033E"/>
    <w:rsid w:val="00EC0746"/>
    <w:rsid w:val="00ED19AF"/>
    <w:rsid w:val="00EE3E3E"/>
    <w:rsid w:val="00FC3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0746"/>
    <w:pPr>
      <w:ind w:left="720"/>
      <w:contextualSpacing/>
    </w:pPr>
    <w:rPr>
      <w:rFonts w:eastAsia="Calibri"/>
      <w:sz w:val="26"/>
      <w:szCs w:val="22"/>
    </w:rPr>
  </w:style>
  <w:style w:type="character" w:styleId="CommentReference">
    <w:name w:val="annotation reference"/>
    <w:basedOn w:val="DefaultParagraphFont"/>
    <w:semiHidden/>
    <w:rsid w:val="00EC0746"/>
    <w:rPr>
      <w:sz w:val="16"/>
      <w:szCs w:val="16"/>
    </w:rPr>
  </w:style>
  <w:style w:type="paragraph" w:styleId="CommentText">
    <w:name w:val="annotation text"/>
    <w:basedOn w:val="Normal"/>
    <w:link w:val="CommentTextChar"/>
    <w:semiHidden/>
    <w:rsid w:val="00EC0746"/>
    <w:rPr>
      <w:sz w:val="20"/>
      <w:szCs w:val="20"/>
    </w:rPr>
  </w:style>
  <w:style w:type="character" w:customStyle="1" w:styleId="CommentTextChar">
    <w:name w:val="Comment Text Char"/>
    <w:basedOn w:val="DefaultParagraphFont"/>
    <w:link w:val="CommentText"/>
    <w:semiHidden/>
    <w:rsid w:val="00EC07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0746"/>
    <w:rPr>
      <w:rFonts w:ascii="Tahoma" w:hAnsi="Tahoma" w:cs="Tahoma"/>
      <w:sz w:val="16"/>
      <w:szCs w:val="16"/>
    </w:rPr>
  </w:style>
  <w:style w:type="character" w:customStyle="1" w:styleId="BalloonTextChar">
    <w:name w:val="Balloon Text Char"/>
    <w:basedOn w:val="DefaultParagraphFont"/>
    <w:link w:val="BalloonText"/>
    <w:uiPriority w:val="99"/>
    <w:semiHidden/>
    <w:rsid w:val="00EC0746"/>
    <w:rPr>
      <w:rFonts w:ascii="Tahoma" w:eastAsia="Times New Roman" w:hAnsi="Tahoma" w:cs="Tahoma"/>
      <w:sz w:val="16"/>
      <w:szCs w:val="16"/>
    </w:rPr>
  </w:style>
  <w:style w:type="character" w:styleId="Hyperlink">
    <w:name w:val="Hyperlink"/>
    <w:basedOn w:val="DefaultParagraphFont"/>
    <w:rsid w:val="00EC0746"/>
    <w:rPr>
      <w:color w:val="0000FF"/>
      <w:u w:val="single"/>
    </w:rPr>
  </w:style>
  <w:style w:type="paragraph" w:styleId="EndnoteText">
    <w:name w:val="endnote text"/>
    <w:basedOn w:val="Normal"/>
    <w:link w:val="EndnoteTextChar"/>
    <w:rsid w:val="00EC0746"/>
    <w:rPr>
      <w:sz w:val="20"/>
      <w:szCs w:val="20"/>
    </w:rPr>
  </w:style>
  <w:style w:type="character" w:customStyle="1" w:styleId="EndnoteTextChar">
    <w:name w:val="Endnote Text Char"/>
    <w:basedOn w:val="DefaultParagraphFont"/>
    <w:link w:val="EndnoteText"/>
    <w:rsid w:val="00EC0746"/>
    <w:rPr>
      <w:rFonts w:ascii="Times New Roman" w:eastAsia="Times New Roman" w:hAnsi="Times New Roman" w:cs="Times New Roman"/>
      <w:sz w:val="20"/>
      <w:szCs w:val="20"/>
    </w:rPr>
  </w:style>
  <w:style w:type="character" w:styleId="EndnoteReference">
    <w:name w:val="endnote reference"/>
    <w:basedOn w:val="DefaultParagraphFont"/>
    <w:rsid w:val="00EC0746"/>
    <w:rPr>
      <w:vertAlign w:val="superscript"/>
    </w:rPr>
  </w:style>
  <w:style w:type="paragraph" w:styleId="Footer">
    <w:name w:val="footer"/>
    <w:basedOn w:val="Normal"/>
    <w:link w:val="FooterChar"/>
    <w:uiPriority w:val="99"/>
    <w:rsid w:val="00EC0746"/>
    <w:pPr>
      <w:tabs>
        <w:tab w:val="center" w:pos="4680"/>
        <w:tab w:val="right" w:pos="9360"/>
      </w:tabs>
    </w:pPr>
  </w:style>
  <w:style w:type="character" w:customStyle="1" w:styleId="FooterChar">
    <w:name w:val="Footer Char"/>
    <w:basedOn w:val="DefaultParagraphFont"/>
    <w:link w:val="Footer"/>
    <w:uiPriority w:val="99"/>
    <w:rsid w:val="00EC074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C0746"/>
  </w:style>
  <w:style w:type="paragraph" w:styleId="FootnoteText">
    <w:name w:val="footnote text"/>
    <w:basedOn w:val="Normal"/>
    <w:link w:val="FootnoteTextChar"/>
    <w:unhideWhenUsed/>
    <w:rsid w:val="00ED19AF"/>
    <w:rPr>
      <w:sz w:val="20"/>
      <w:szCs w:val="20"/>
    </w:rPr>
  </w:style>
  <w:style w:type="character" w:customStyle="1" w:styleId="FootnoteTextChar">
    <w:name w:val="Footnote Text Char"/>
    <w:basedOn w:val="DefaultParagraphFont"/>
    <w:link w:val="FootnoteText"/>
    <w:rsid w:val="00ED19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19A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0746"/>
    <w:pPr>
      <w:ind w:left="720"/>
      <w:contextualSpacing/>
    </w:pPr>
    <w:rPr>
      <w:rFonts w:eastAsia="Calibri"/>
      <w:sz w:val="26"/>
      <w:szCs w:val="22"/>
    </w:rPr>
  </w:style>
  <w:style w:type="character" w:styleId="CommentReference">
    <w:name w:val="annotation reference"/>
    <w:basedOn w:val="DefaultParagraphFont"/>
    <w:semiHidden/>
    <w:rsid w:val="00EC0746"/>
    <w:rPr>
      <w:sz w:val="16"/>
      <w:szCs w:val="16"/>
    </w:rPr>
  </w:style>
  <w:style w:type="paragraph" w:styleId="CommentText">
    <w:name w:val="annotation text"/>
    <w:basedOn w:val="Normal"/>
    <w:link w:val="CommentTextChar"/>
    <w:semiHidden/>
    <w:rsid w:val="00EC0746"/>
    <w:rPr>
      <w:sz w:val="20"/>
      <w:szCs w:val="20"/>
    </w:rPr>
  </w:style>
  <w:style w:type="character" w:customStyle="1" w:styleId="CommentTextChar">
    <w:name w:val="Comment Text Char"/>
    <w:basedOn w:val="DefaultParagraphFont"/>
    <w:link w:val="CommentText"/>
    <w:semiHidden/>
    <w:rsid w:val="00EC07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0746"/>
    <w:rPr>
      <w:rFonts w:ascii="Tahoma" w:hAnsi="Tahoma" w:cs="Tahoma"/>
      <w:sz w:val="16"/>
      <w:szCs w:val="16"/>
    </w:rPr>
  </w:style>
  <w:style w:type="character" w:customStyle="1" w:styleId="BalloonTextChar">
    <w:name w:val="Balloon Text Char"/>
    <w:basedOn w:val="DefaultParagraphFont"/>
    <w:link w:val="BalloonText"/>
    <w:uiPriority w:val="99"/>
    <w:semiHidden/>
    <w:rsid w:val="00EC0746"/>
    <w:rPr>
      <w:rFonts w:ascii="Tahoma" w:eastAsia="Times New Roman" w:hAnsi="Tahoma" w:cs="Tahoma"/>
      <w:sz w:val="16"/>
      <w:szCs w:val="16"/>
    </w:rPr>
  </w:style>
  <w:style w:type="character" w:styleId="Hyperlink">
    <w:name w:val="Hyperlink"/>
    <w:basedOn w:val="DefaultParagraphFont"/>
    <w:rsid w:val="00EC0746"/>
    <w:rPr>
      <w:color w:val="0000FF"/>
      <w:u w:val="single"/>
    </w:rPr>
  </w:style>
  <w:style w:type="paragraph" w:styleId="EndnoteText">
    <w:name w:val="endnote text"/>
    <w:basedOn w:val="Normal"/>
    <w:link w:val="EndnoteTextChar"/>
    <w:rsid w:val="00EC0746"/>
    <w:rPr>
      <w:sz w:val="20"/>
      <w:szCs w:val="20"/>
    </w:rPr>
  </w:style>
  <w:style w:type="character" w:customStyle="1" w:styleId="EndnoteTextChar">
    <w:name w:val="Endnote Text Char"/>
    <w:basedOn w:val="DefaultParagraphFont"/>
    <w:link w:val="EndnoteText"/>
    <w:rsid w:val="00EC0746"/>
    <w:rPr>
      <w:rFonts w:ascii="Times New Roman" w:eastAsia="Times New Roman" w:hAnsi="Times New Roman" w:cs="Times New Roman"/>
      <w:sz w:val="20"/>
      <w:szCs w:val="20"/>
    </w:rPr>
  </w:style>
  <w:style w:type="character" w:styleId="EndnoteReference">
    <w:name w:val="endnote reference"/>
    <w:basedOn w:val="DefaultParagraphFont"/>
    <w:rsid w:val="00EC0746"/>
    <w:rPr>
      <w:vertAlign w:val="superscript"/>
    </w:rPr>
  </w:style>
  <w:style w:type="paragraph" w:styleId="Footer">
    <w:name w:val="footer"/>
    <w:basedOn w:val="Normal"/>
    <w:link w:val="FooterChar"/>
    <w:uiPriority w:val="99"/>
    <w:rsid w:val="00EC0746"/>
    <w:pPr>
      <w:tabs>
        <w:tab w:val="center" w:pos="4680"/>
        <w:tab w:val="right" w:pos="9360"/>
      </w:tabs>
    </w:pPr>
  </w:style>
  <w:style w:type="character" w:customStyle="1" w:styleId="FooterChar">
    <w:name w:val="Footer Char"/>
    <w:basedOn w:val="DefaultParagraphFont"/>
    <w:link w:val="Footer"/>
    <w:uiPriority w:val="99"/>
    <w:rsid w:val="00EC074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C0746"/>
  </w:style>
  <w:style w:type="paragraph" w:styleId="FootnoteText">
    <w:name w:val="footnote text"/>
    <w:basedOn w:val="Normal"/>
    <w:link w:val="FootnoteTextChar"/>
    <w:unhideWhenUsed/>
    <w:rsid w:val="00ED19AF"/>
    <w:rPr>
      <w:sz w:val="20"/>
      <w:szCs w:val="20"/>
    </w:rPr>
  </w:style>
  <w:style w:type="character" w:customStyle="1" w:styleId="FootnoteTextChar">
    <w:name w:val="Footnote Text Char"/>
    <w:basedOn w:val="DefaultParagraphFont"/>
    <w:link w:val="FootnoteText"/>
    <w:rsid w:val="00ED19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1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22C6-D6BD-4445-8D6F-25D8D425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1015</Words>
  <Characters>5787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klusson</dc:creator>
  <cp:lastModifiedBy>Nicole Haslup</cp:lastModifiedBy>
  <cp:revision>2</cp:revision>
  <cp:lastPrinted>2015-05-07T18:38:00Z</cp:lastPrinted>
  <dcterms:created xsi:type="dcterms:W3CDTF">2015-06-09T13:46:00Z</dcterms:created>
  <dcterms:modified xsi:type="dcterms:W3CDTF">2015-06-09T13:46:00Z</dcterms:modified>
</cp:coreProperties>
</file>