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AB0" w:rsidRPr="006E5B0D" w:rsidRDefault="00CA1AB0" w:rsidP="00CA1AB0">
      <w:pPr>
        <w:pStyle w:val="NoSpacing"/>
        <w:suppressLineNumbers/>
        <w:jc w:val="center"/>
        <w:rPr>
          <w:rFonts w:cs="Times New Roman"/>
          <w:b/>
          <w:szCs w:val="24"/>
        </w:rPr>
      </w:pPr>
      <w:r w:rsidRPr="006E5B0D">
        <w:rPr>
          <w:rFonts w:cs="Times New Roman"/>
          <w:b/>
          <w:szCs w:val="24"/>
        </w:rPr>
        <w:t>NATIONAL ASSOCIATION OF STATE UTILITY CONSUMER ADVOCATES</w:t>
      </w:r>
    </w:p>
    <w:p w:rsidR="00CA1AB0" w:rsidRPr="006E5B0D" w:rsidRDefault="00CA1AB0" w:rsidP="00CA1AB0">
      <w:pPr>
        <w:pStyle w:val="NoSpacing"/>
        <w:suppressLineNumbers/>
        <w:rPr>
          <w:rFonts w:cs="Times New Roman"/>
          <w:szCs w:val="24"/>
        </w:rPr>
      </w:pPr>
    </w:p>
    <w:p w:rsidR="00CA1AB0" w:rsidRPr="006E5B0D" w:rsidRDefault="00CA1AB0" w:rsidP="00CA1AB0">
      <w:pPr>
        <w:suppressLineNumbers/>
        <w:spacing w:after="240" w:line="240" w:lineRule="auto"/>
        <w:jc w:val="center"/>
        <w:rPr>
          <w:rFonts w:cs="Times New Roman"/>
          <w:b/>
          <w:szCs w:val="24"/>
        </w:rPr>
      </w:pPr>
      <w:r w:rsidRPr="006E5B0D">
        <w:rPr>
          <w:rFonts w:cs="Times New Roman"/>
          <w:b/>
          <w:szCs w:val="24"/>
        </w:rPr>
        <w:t>R</w:t>
      </w:r>
      <w:r>
        <w:rPr>
          <w:rFonts w:cs="Times New Roman"/>
          <w:b/>
          <w:szCs w:val="24"/>
        </w:rPr>
        <w:t>esolution</w:t>
      </w:r>
      <w:r w:rsidRPr="006E5B0D">
        <w:rPr>
          <w:rFonts w:cs="Times New Roman"/>
          <w:b/>
          <w:szCs w:val="24"/>
        </w:rPr>
        <w:t xml:space="preserve"> 2014</w:t>
      </w:r>
      <w:r>
        <w:rPr>
          <w:rFonts w:cs="Times New Roman"/>
          <w:b/>
          <w:szCs w:val="24"/>
        </w:rPr>
        <w:t>-</w:t>
      </w:r>
      <w:r w:rsidR="00247151">
        <w:rPr>
          <w:rFonts w:cs="Times New Roman"/>
          <w:b/>
          <w:szCs w:val="24"/>
        </w:rPr>
        <w:t>0</w:t>
      </w:r>
      <w:r w:rsidR="008A7888">
        <w:rPr>
          <w:rFonts w:cs="Times New Roman"/>
          <w:b/>
          <w:szCs w:val="24"/>
        </w:rPr>
        <w:t>5</w:t>
      </w:r>
    </w:p>
    <w:p w:rsidR="00CA1AB0" w:rsidRDefault="00CA1AB0" w:rsidP="00CA1AB0">
      <w:pPr>
        <w:spacing w:after="240" w:line="240" w:lineRule="auto"/>
        <w:jc w:val="center"/>
        <w:rPr>
          <w:rFonts w:cs="Times New Roman"/>
          <w:b/>
          <w:szCs w:val="24"/>
        </w:rPr>
      </w:pPr>
      <w:r w:rsidRPr="006E5B0D">
        <w:rPr>
          <w:rFonts w:cs="Times New Roman"/>
          <w:b/>
          <w:szCs w:val="24"/>
        </w:rPr>
        <w:t>U</w:t>
      </w:r>
      <w:r>
        <w:rPr>
          <w:rFonts w:cs="Times New Roman"/>
          <w:b/>
          <w:szCs w:val="24"/>
        </w:rPr>
        <w:t>rging Broad</w:t>
      </w:r>
      <w:r w:rsidR="0084520A">
        <w:rPr>
          <w:rFonts w:cs="Times New Roman"/>
          <w:b/>
          <w:szCs w:val="24"/>
        </w:rPr>
        <w:t xml:space="preserve"> Consumer</w:t>
      </w:r>
      <w:r>
        <w:rPr>
          <w:rFonts w:cs="Times New Roman"/>
          <w:b/>
          <w:szCs w:val="24"/>
        </w:rPr>
        <w:t xml:space="preserve"> Protections for Distributed Generation Customers</w:t>
      </w:r>
    </w:p>
    <w:p w:rsidR="00CA1AB0" w:rsidRPr="00924D12" w:rsidRDefault="00CA1AB0" w:rsidP="00CA1AB0">
      <w:pPr>
        <w:spacing w:after="240" w:line="240" w:lineRule="auto"/>
        <w:rPr>
          <w:rFonts w:cs="Times New Roman"/>
          <w:szCs w:val="24"/>
        </w:rPr>
      </w:pPr>
      <w:r w:rsidRPr="00965D2C">
        <w:rPr>
          <w:rFonts w:cs="Times New Roman"/>
          <w:b/>
          <w:szCs w:val="24"/>
        </w:rPr>
        <w:t>Whereas</w:t>
      </w:r>
      <w:r w:rsidRPr="00924D12">
        <w:rPr>
          <w:rFonts w:cs="Times New Roman"/>
          <w:szCs w:val="24"/>
        </w:rPr>
        <w:t xml:space="preserve">, </w:t>
      </w:r>
      <w:r w:rsidR="004F2FF0">
        <w:rPr>
          <w:rFonts w:cs="Times New Roman"/>
          <w:szCs w:val="24"/>
        </w:rPr>
        <w:t>d</w:t>
      </w:r>
      <w:r w:rsidR="00AA56B4">
        <w:rPr>
          <w:rFonts w:cs="Times New Roman"/>
          <w:szCs w:val="24"/>
        </w:rPr>
        <w:t>istributed generation (DG)</w:t>
      </w:r>
      <w:r w:rsidR="0084520A" w:rsidRPr="00924D12">
        <w:rPr>
          <w:rFonts w:cs="Times New Roman"/>
          <w:szCs w:val="24"/>
        </w:rPr>
        <w:t xml:space="preserve"> can be defined as decentralized electricity generation, usually on a small scale, which is interconnected </w:t>
      </w:r>
      <w:r w:rsidR="009D5140">
        <w:rPr>
          <w:rFonts w:cs="Times New Roman"/>
          <w:szCs w:val="24"/>
        </w:rPr>
        <w:t>with the distribution system,</w:t>
      </w:r>
      <w:r w:rsidR="0084520A" w:rsidRPr="00924D12">
        <w:rPr>
          <w:rFonts w:cs="Times New Roman"/>
          <w:szCs w:val="24"/>
        </w:rPr>
        <w:t xml:space="preserve"> located at or near the load (i.e., a customer’s home, business or other facility)</w:t>
      </w:r>
      <w:r w:rsidR="00AA56B4" w:rsidRPr="00AA56B4">
        <w:t xml:space="preserve"> </w:t>
      </w:r>
      <w:r w:rsidR="00AA56B4">
        <w:t xml:space="preserve">and includes </w:t>
      </w:r>
      <w:r w:rsidR="009D5140">
        <w:t>energy sources</w:t>
      </w:r>
      <w:r w:rsidR="00AA56B4">
        <w:t xml:space="preserve"> such as </w:t>
      </w:r>
      <w:r w:rsidR="00AA56B4" w:rsidRPr="007A70D5">
        <w:t xml:space="preserve">solar panels, </w:t>
      </w:r>
      <w:r w:rsidR="00F1055D">
        <w:t xml:space="preserve">small wind, </w:t>
      </w:r>
      <w:r w:rsidR="00AA56B4" w:rsidRPr="007A70D5">
        <w:t>ene</w:t>
      </w:r>
      <w:r w:rsidR="009D5140">
        <w:t xml:space="preserve">rgy storage devices, fuel cells and </w:t>
      </w:r>
      <w:proofErr w:type="spellStart"/>
      <w:r w:rsidR="009D5140">
        <w:t>microturbines</w:t>
      </w:r>
      <w:proofErr w:type="spellEnd"/>
      <w:r w:rsidR="0084520A" w:rsidRPr="00924D12">
        <w:rPr>
          <w:rFonts w:cs="Times New Roman"/>
          <w:szCs w:val="24"/>
        </w:rPr>
        <w:t>;</w:t>
      </w:r>
      <w:r w:rsidR="00F41B44">
        <w:rPr>
          <w:rFonts w:cs="Times New Roman"/>
          <w:szCs w:val="24"/>
        </w:rPr>
        <w:t xml:space="preserve"> and</w:t>
      </w:r>
    </w:p>
    <w:p w:rsidR="00924D12" w:rsidRDefault="0084520A" w:rsidP="00CA1AB0">
      <w:pPr>
        <w:spacing w:after="240" w:line="240" w:lineRule="auto"/>
      </w:pPr>
      <w:r w:rsidRPr="00965D2C">
        <w:rPr>
          <w:rFonts w:cs="Times New Roman"/>
          <w:b/>
          <w:szCs w:val="24"/>
        </w:rPr>
        <w:t>Whereas</w:t>
      </w:r>
      <w:r w:rsidR="00924D12" w:rsidRPr="00924D12">
        <w:rPr>
          <w:rFonts w:cs="Times New Roman"/>
          <w:szCs w:val="24"/>
        </w:rPr>
        <w:t>,</w:t>
      </w:r>
      <w:r w:rsidR="00924D12" w:rsidRPr="00924D12">
        <w:t xml:space="preserve"> </w:t>
      </w:r>
      <w:r w:rsidR="00924D12">
        <w:t>i</w:t>
      </w:r>
      <w:r w:rsidR="00924D12" w:rsidRPr="00924D12">
        <w:t>n recent years, development of distributed generation</w:t>
      </w:r>
      <w:r w:rsidR="00AA56B4">
        <w:t xml:space="preserve"> has increased</w:t>
      </w:r>
      <w:r w:rsidR="00924D12" w:rsidRPr="00924D12">
        <w:t xml:space="preserve"> in many </w:t>
      </w:r>
      <w:r w:rsidR="00AA56B4">
        <w:t xml:space="preserve">states which is attributable, in large part, to </w:t>
      </w:r>
      <w:r w:rsidR="00924D12" w:rsidRPr="00924D12">
        <w:t>the adoption of public policies supporting</w:t>
      </w:r>
      <w:r w:rsidR="00AA56B4">
        <w:t xml:space="preserve"> the development of de</w:t>
      </w:r>
      <w:r w:rsidR="00924D12">
        <w:t>centralized or small-scale renewable energy generation;</w:t>
      </w:r>
      <w:r w:rsidR="00F41B44">
        <w:t xml:space="preserve"> and</w:t>
      </w:r>
    </w:p>
    <w:p w:rsidR="00924D12" w:rsidRDefault="00965D2C" w:rsidP="00CA1AB0">
      <w:pPr>
        <w:spacing w:after="240" w:line="240" w:lineRule="auto"/>
      </w:pPr>
      <w:r w:rsidRPr="00965D2C">
        <w:rPr>
          <w:b/>
        </w:rPr>
        <w:t>Whereas</w:t>
      </w:r>
      <w:r>
        <w:t>, t</w:t>
      </w:r>
      <w:r w:rsidR="00924D12">
        <w:t xml:space="preserve">wenty-nine states plus the District </w:t>
      </w:r>
      <w:r>
        <w:t>of Columbia and two territories</w:t>
      </w:r>
      <w:r w:rsidR="00924D12">
        <w:t xml:space="preserve"> have promulgated statutory Renewable Portfolio Standards mandating the integration of renewable energy sources in their fuel mix;</w:t>
      </w:r>
      <w:r w:rsidR="00F41B44">
        <w:t xml:space="preserve"> and</w:t>
      </w:r>
    </w:p>
    <w:p w:rsidR="00924D12" w:rsidRDefault="00965D2C" w:rsidP="00CA1AB0">
      <w:pPr>
        <w:spacing w:after="240" w:line="240" w:lineRule="auto"/>
      </w:pPr>
      <w:r w:rsidRPr="00965D2C">
        <w:rPr>
          <w:b/>
        </w:rPr>
        <w:t>Whereas</w:t>
      </w:r>
      <w:r>
        <w:t>, f</w:t>
      </w:r>
      <w:r w:rsidR="00924D12">
        <w:t xml:space="preserve">orty-three states plus the District of Columbia and four territories have adopted net energy metering </w:t>
      </w:r>
      <w:r w:rsidR="001B383A">
        <w:t>regulations</w:t>
      </w:r>
      <w:r w:rsidR="00924D12">
        <w:t xml:space="preserve"> for small-scale renewable generation;</w:t>
      </w:r>
      <w:r w:rsidR="00F41B44">
        <w:t xml:space="preserve"> and</w:t>
      </w:r>
    </w:p>
    <w:p w:rsidR="0084520A" w:rsidRDefault="00924D12" w:rsidP="00CA1AB0">
      <w:pPr>
        <w:spacing w:after="240" w:line="240" w:lineRule="auto"/>
      </w:pPr>
      <w:r w:rsidRPr="00965D2C">
        <w:rPr>
          <w:b/>
        </w:rPr>
        <w:t>Whereas</w:t>
      </w:r>
      <w:r>
        <w:t xml:space="preserve">, </w:t>
      </w:r>
      <w:r w:rsidR="00AA56B4">
        <w:t xml:space="preserve">the federal government and </w:t>
      </w:r>
      <w:r w:rsidR="00F00D9C">
        <w:t xml:space="preserve">several states have </w:t>
      </w:r>
      <w:r>
        <w:t>codified tax incentives for renewable energy generation;</w:t>
      </w:r>
      <w:r w:rsidR="00F41B44">
        <w:t xml:space="preserve"> and</w:t>
      </w:r>
    </w:p>
    <w:p w:rsidR="00952557" w:rsidRDefault="00952557" w:rsidP="00952557">
      <w:pPr>
        <w:spacing w:after="0" w:line="240" w:lineRule="auto"/>
        <w:jc w:val="both"/>
      </w:pPr>
      <w:r w:rsidRPr="00965D2C">
        <w:rPr>
          <w:b/>
        </w:rPr>
        <w:t>Whereas,</w:t>
      </w:r>
      <w:r>
        <w:t xml:space="preserve"> i</w:t>
      </w:r>
      <w:r w:rsidRPr="00A64CB4">
        <w:t>n many jurisdictions,</w:t>
      </w:r>
      <w:r>
        <w:t xml:space="preserve"> </w:t>
      </w:r>
      <w:r w:rsidRPr="00A64CB4">
        <w:t>wider commercial deployment of solar energy technologies</w:t>
      </w:r>
      <w:r>
        <w:t xml:space="preserve">, </w:t>
      </w:r>
      <w:r w:rsidRPr="00A64CB4">
        <w:t xml:space="preserve">such as </w:t>
      </w:r>
      <w:r>
        <w:t xml:space="preserve">rooftop solar photovoltaics and solar thermal </w:t>
      </w:r>
      <w:r w:rsidRPr="00A64CB4">
        <w:t>systems</w:t>
      </w:r>
      <w:r>
        <w:t>,</w:t>
      </w:r>
      <w:r w:rsidRPr="00A64CB4">
        <w:t xml:space="preserve"> has played a central role in the expa</w:t>
      </w:r>
      <w:r>
        <w:t>nsion of distributed generation; and</w:t>
      </w:r>
      <w:r w:rsidRPr="00A64CB4">
        <w:t xml:space="preserve">  </w:t>
      </w:r>
    </w:p>
    <w:p w:rsidR="00952557" w:rsidRDefault="00952557" w:rsidP="00952557">
      <w:pPr>
        <w:spacing w:after="0" w:line="240" w:lineRule="auto"/>
        <w:jc w:val="both"/>
      </w:pPr>
    </w:p>
    <w:p w:rsidR="00952557" w:rsidRDefault="00952557" w:rsidP="00952557">
      <w:pPr>
        <w:spacing w:after="0" w:line="240" w:lineRule="auto"/>
        <w:jc w:val="both"/>
      </w:pPr>
      <w:r w:rsidRPr="00965D2C">
        <w:rPr>
          <w:b/>
        </w:rPr>
        <w:t>Whereas</w:t>
      </w:r>
      <w:r>
        <w:t>, within the past few years, t</w:t>
      </w:r>
      <w:r w:rsidRPr="00A64CB4">
        <w:t xml:space="preserve">he cost of </w:t>
      </w:r>
      <w:r>
        <w:t xml:space="preserve">rooftop </w:t>
      </w:r>
      <w:r w:rsidRPr="00A64CB4">
        <w:t>solar energy systems</w:t>
      </w:r>
      <w:r>
        <w:t xml:space="preserve"> </w:t>
      </w:r>
      <w:r w:rsidRPr="00A64CB4">
        <w:t>has fallen significantly</w:t>
      </w:r>
      <w:r>
        <w:t xml:space="preserve"> and there is growing consumer demand for solar energy in some regions; and</w:t>
      </w:r>
    </w:p>
    <w:p w:rsidR="009D5140" w:rsidRDefault="009D5140" w:rsidP="00A64CB4">
      <w:pPr>
        <w:spacing w:after="0" w:line="240" w:lineRule="auto"/>
        <w:jc w:val="both"/>
      </w:pPr>
    </w:p>
    <w:p w:rsidR="00A64CB4" w:rsidRDefault="009D5140" w:rsidP="00A64CB4">
      <w:pPr>
        <w:spacing w:after="0" w:line="240" w:lineRule="auto"/>
        <w:jc w:val="both"/>
      </w:pPr>
      <w:r w:rsidRPr="009D5140">
        <w:rPr>
          <w:b/>
        </w:rPr>
        <w:t>Whereas</w:t>
      </w:r>
      <w:r>
        <w:t>, the increasing affordability of DG for residential consumers is, in part, attributable to DG providers</w:t>
      </w:r>
      <w:r w:rsidR="008B7324">
        <w:t xml:space="preserve"> (third-party DG providers)</w:t>
      </w:r>
      <w:r>
        <w:t xml:space="preserve">, such as solar companies, </w:t>
      </w:r>
      <w:r w:rsidR="00A64CB4" w:rsidRPr="00A64CB4">
        <w:t>offering more financing options</w:t>
      </w:r>
      <w:r>
        <w:t xml:space="preserve"> which</w:t>
      </w:r>
      <w:r w:rsidR="00B07663">
        <w:t xml:space="preserve"> allow customers to</w:t>
      </w:r>
      <w:r w:rsidR="00A64CB4">
        <w:t xml:space="preserve"> </w:t>
      </w:r>
      <w:r w:rsidR="00B07663">
        <w:t xml:space="preserve">participate in </w:t>
      </w:r>
      <w:r w:rsidR="00114074">
        <w:t>DG</w:t>
      </w:r>
      <w:r w:rsidR="00B07663">
        <w:t xml:space="preserve"> without </w:t>
      </w:r>
      <w:r w:rsidR="00AA56B4">
        <w:t xml:space="preserve">having to make </w:t>
      </w:r>
      <w:r w:rsidR="0063605E">
        <w:t>large capital investment</w:t>
      </w:r>
      <w:r w:rsidR="00C66CE2">
        <w:t>s</w:t>
      </w:r>
      <w:r w:rsidR="0063605E">
        <w:t xml:space="preserve"> and </w:t>
      </w:r>
      <w:r w:rsidR="00B07663">
        <w:t>owning</w:t>
      </w:r>
      <w:r w:rsidR="0063605E">
        <w:t xml:space="preserve"> and bearing the responsibility for maintaining</w:t>
      </w:r>
      <w:r w:rsidR="00B07663">
        <w:t xml:space="preserve"> the energy systems installed at their property</w:t>
      </w:r>
      <w:r w:rsidR="00A64CB4">
        <w:t>;</w:t>
      </w:r>
      <w:r w:rsidR="00F41B44">
        <w:t xml:space="preserve"> and</w:t>
      </w:r>
    </w:p>
    <w:p w:rsidR="00A64CB4" w:rsidRDefault="00A64CB4" w:rsidP="00A64CB4">
      <w:pPr>
        <w:spacing w:after="0" w:line="240" w:lineRule="auto"/>
        <w:jc w:val="both"/>
      </w:pPr>
    </w:p>
    <w:p w:rsidR="00B07663" w:rsidRDefault="00A64CB4" w:rsidP="00A64CB4">
      <w:pPr>
        <w:spacing w:after="0" w:line="240" w:lineRule="auto"/>
        <w:jc w:val="both"/>
      </w:pPr>
      <w:r w:rsidRPr="006F12F9">
        <w:rPr>
          <w:b/>
        </w:rPr>
        <w:t>Whereas</w:t>
      </w:r>
      <w:r>
        <w:t>, these financing arrangements</w:t>
      </w:r>
      <w:r w:rsidR="00114074">
        <w:t xml:space="preserve"> </w:t>
      </w:r>
      <w:r>
        <w:t xml:space="preserve">may include </w:t>
      </w:r>
      <w:r w:rsidR="00B07663">
        <w:t>third-party ownership business models</w:t>
      </w:r>
      <w:r w:rsidR="001B383A">
        <w:t xml:space="preserve"> (third-party DG contracts)</w:t>
      </w:r>
      <w:r w:rsidR="00B07663">
        <w:t xml:space="preserve"> such as </w:t>
      </w:r>
      <w:r w:rsidRPr="00A64CB4">
        <w:t>power purchase agreements</w:t>
      </w:r>
      <w:r w:rsidR="0063605E">
        <w:t xml:space="preserve"> </w:t>
      </w:r>
      <w:r w:rsidRPr="00A64CB4">
        <w:t>and leas</w:t>
      </w:r>
      <w:r w:rsidR="00B07663">
        <w:t>e</w:t>
      </w:r>
      <w:r w:rsidRPr="00A64CB4">
        <w:t xml:space="preserve"> agreements</w:t>
      </w:r>
      <w:r w:rsidR="00B07663">
        <w:t xml:space="preserve"> which may require little or no</w:t>
      </w:r>
      <w:r w:rsidR="009D5140">
        <w:t xml:space="preserve"> upfront down payments</w:t>
      </w:r>
      <w:r w:rsidR="00B07663">
        <w:t>;</w:t>
      </w:r>
      <w:r w:rsidR="00F41B44">
        <w:t xml:space="preserve"> and</w:t>
      </w:r>
    </w:p>
    <w:p w:rsidR="00C66CE2" w:rsidRDefault="00C66CE2" w:rsidP="00A64CB4">
      <w:pPr>
        <w:spacing w:after="0" w:line="240" w:lineRule="auto"/>
        <w:jc w:val="both"/>
      </w:pPr>
    </w:p>
    <w:p w:rsidR="008B7324" w:rsidRDefault="00C66CE2" w:rsidP="00A64CB4">
      <w:pPr>
        <w:spacing w:after="0" w:line="240" w:lineRule="auto"/>
        <w:jc w:val="both"/>
      </w:pPr>
      <w:r w:rsidRPr="006F12F9">
        <w:rPr>
          <w:b/>
        </w:rPr>
        <w:t>Whereas,</w:t>
      </w:r>
      <w:r w:rsidR="00AA56B4">
        <w:t xml:space="preserve"> although</w:t>
      </w:r>
      <w:r>
        <w:t xml:space="preserve"> these third-party DG ownership models </w:t>
      </w:r>
      <w:r w:rsidR="00725AF3">
        <w:t>may provide benefits for consumers</w:t>
      </w:r>
      <w:r w:rsidR="00EC616B">
        <w:t xml:space="preserve">, </w:t>
      </w:r>
      <w:r w:rsidR="008B7324">
        <w:t>entities such as the Better Business Bureau have received complaints regarding the business practices of certain third-party DG providers; and</w:t>
      </w:r>
    </w:p>
    <w:p w:rsidR="008B7324" w:rsidRDefault="008B7324" w:rsidP="00A64CB4">
      <w:pPr>
        <w:spacing w:after="0" w:line="240" w:lineRule="auto"/>
        <w:jc w:val="both"/>
      </w:pPr>
    </w:p>
    <w:p w:rsidR="00C66CE2" w:rsidRDefault="008B7324" w:rsidP="00A64CB4">
      <w:pPr>
        <w:spacing w:after="0" w:line="240" w:lineRule="auto"/>
        <w:jc w:val="both"/>
      </w:pPr>
      <w:r w:rsidRPr="008B7324">
        <w:rPr>
          <w:b/>
        </w:rPr>
        <w:lastRenderedPageBreak/>
        <w:t>Whereas,</w:t>
      </w:r>
      <w:r>
        <w:t xml:space="preserve"> these complaints demonstrate that </w:t>
      </w:r>
      <w:r w:rsidR="002445F3">
        <w:t xml:space="preserve">more oversight and consumer education is warranted </w:t>
      </w:r>
      <w:r w:rsidR="002A5E6C">
        <w:t>because of</w:t>
      </w:r>
      <w:r w:rsidR="002445F3">
        <w:t xml:space="preserve"> the potentially significant risks for consumers engaging in </w:t>
      </w:r>
      <w:r w:rsidR="00AA56B4">
        <w:t>DG contracts,</w:t>
      </w:r>
      <w:r w:rsidR="00725AF3">
        <w:t xml:space="preserve"> </w:t>
      </w:r>
      <w:r w:rsidR="000E5C2A">
        <w:t>including but not limited to</w:t>
      </w:r>
      <w:r w:rsidR="00725AF3">
        <w:t>:</w:t>
      </w:r>
    </w:p>
    <w:p w:rsidR="00B5379B" w:rsidRDefault="00B5379B" w:rsidP="00A64CB4">
      <w:pPr>
        <w:spacing w:after="0" w:line="240" w:lineRule="auto"/>
        <w:jc w:val="both"/>
      </w:pPr>
    </w:p>
    <w:p w:rsidR="00725AF3" w:rsidRDefault="00725AF3" w:rsidP="00725AF3">
      <w:pPr>
        <w:pStyle w:val="ListParagraph"/>
        <w:numPr>
          <w:ilvl w:val="0"/>
          <w:numId w:val="2"/>
        </w:numPr>
        <w:spacing w:after="0" w:line="240" w:lineRule="auto"/>
        <w:jc w:val="both"/>
      </w:pPr>
      <w:r>
        <w:t>Fraudulent and deceptive business practices</w:t>
      </w:r>
      <w:r w:rsidR="00AA56B4">
        <w:t xml:space="preserve"> by DG providers</w:t>
      </w:r>
      <w:r w:rsidR="001E21A7">
        <w:t>,</w:t>
      </w:r>
      <w:r w:rsidR="00276B5E">
        <w:t xml:space="preserve"> </w:t>
      </w:r>
      <w:r w:rsidR="000E5C2A">
        <w:t>such as</w:t>
      </w:r>
      <w:r w:rsidR="001E21A7">
        <w:t xml:space="preserve"> </w:t>
      </w:r>
      <w:r w:rsidR="00276B5E">
        <w:t>misrepresentation of the</w:t>
      </w:r>
      <w:r w:rsidR="001B383A">
        <w:t xml:space="preserve"> potential energy</w:t>
      </w:r>
      <w:r w:rsidR="00276B5E">
        <w:t xml:space="preserve"> output of the DG system,</w:t>
      </w:r>
      <w:r w:rsidR="001B383A">
        <w:t xml:space="preserve"> exaggeration of the value of the DG system, and</w:t>
      </w:r>
      <w:r w:rsidR="00276B5E">
        <w:t xml:space="preserve"> withholding </w:t>
      </w:r>
      <w:r w:rsidR="002445F3">
        <w:t xml:space="preserve">information </w:t>
      </w:r>
      <w:r w:rsidR="00276B5E">
        <w:t>or misleading customers regarding information re</w:t>
      </w:r>
      <w:r w:rsidR="00B5379B">
        <w:t xml:space="preserve">lated to </w:t>
      </w:r>
      <w:r w:rsidR="00334A5D">
        <w:t xml:space="preserve">property </w:t>
      </w:r>
      <w:r w:rsidR="00276B5E">
        <w:t xml:space="preserve">repairs </w:t>
      </w:r>
      <w:r w:rsidR="002445F3">
        <w:t xml:space="preserve">or upgrades </w:t>
      </w:r>
      <w:r w:rsidR="00276B5E">
        <w:t>necessary for installation of the DG system</w:t>
      </w:r>
      <w:r w:rsidR="00B5379B">
        <w:t>;</w:t>
      </w:r>
    </w:p>
    <w:p w:rsidR="00B5379B" w:rsidRDefault="00B5379B" w:rsidP="00B5379B">
      <w:pPr>
        <w:pStyle w:val="ListParagraph"/>
        <w:spacing w:after="0" w:line="240" w:lineRule="auto"/>
        <w:jc w:val="both"/>
      </w:pPr>
    </w:p>
    <w:p w:rsidR="00725AF3" w:rsidRDefault="00725AF3" w:rsidP="00725AF3">
      <w:pPr>
        <w:pStyle w:val="ListParagraph"/>
        <w:numPr>
          <w:ilvl w:val="0"/>
          <w:numId w:val="2"/>
        </w:numPr>
        <w:spacing w:after="0" w:line="240" w:lineRule="auto"/>
        <w:jc w:val="both"/>
      </w:pPr>
      <w:r>
        <w:t>Improperly installed DG systems</w:t>
      </w:r>
      <w:r w:rsidR="001E21A7">
        <w:t>,</w:t>
      </w:r>
      <w:r w:rsidR="00B5379B">
        <w:t xml:space="preserve"> </w:t>
      </w:r>
      <w:r w:rsidR="002445F3">
        <w:t>including</w:t>
      </w:r>
      <w:r w:rsidR="001E21A7">
        <w:t xml:space="preserve"> </w:t>
      </w:r>
      <w:r w:rsidR="001B383A">
        <w:t>poor workmanship or</w:t>
      </w:r>
      <w:r w:rsidR="00B5379B">
        <w:t xml:space="preserve"> systems failing to meet interconnection requirements</w:t>
      </w:r>
      <w:r w:rsidR="001B383A">
        <w:t xml:space="preserve"> which can result in safety hazards</w:t>
      </w:r>
      <w:r w:rsidR="00B5379B">
        <w:t>;</w:t>
      </w:r>
    </w:p>
    <w:p w:rsidR="00B5379B" w:rsidRDefault="00B5379B" w:rsidP="00B5379B">
      <w:pPr>
        <w:spacing w:after="0" w:line="240" w:lineRule="auto"/>
        <w:jc w:val="both"/>
      </w:pPr>
    </w:p>
    <w:p w:rsidR="00725AF3" w:rsidRDefault="00725AF3" w:rsidP="00725AF3">
      <w:pPr>
        <w:pStyle w:val="ListParagraph"/>
        <w:numPr>
          <w:ilvl w:val="0"/>
          <w:numId w:val="2"/>
        </w:numPr>
        <w:spacing w:after="0" w:line="240" w:lineRule="auto"/>
        <w:jc w:val="both"/>
      </w:pPr>
      <w:r>
        <w:t>Unfulfilled contract obligations</w:t>
      </w:r>
      <w:r w:rsidR="001E21A7">
        <w:t>, such as</w:t>
      </w:r>
      <w:r w:rsidR="001B383A">
        <w:t xml:space="preserve"> third-party DG providers’</w:t>
      </w:r>
      <w:r w:rsidR="00313138">
        <w:t xml:space="preserve"> failure to maintain or repair the system pursuant to contract terms;</w:t>
      </w:r>
    </w:p>
    <w:p w:rsidR="00313138" w:rsidRDefault="00313138" w:rsidP="00313138">
      <w:pPr>
        <w:spacing w:after="0" w:line="240" w:lineRule="auto"/>
        <w:jc w:val="both"/>
      </w:pPr>
    </w:p>
    <w:p w:rsidR="00725AF3" w:rsidRDefault="00725AF3" w:rsidP="00725AF3">
      <w:pPr>
        <w:pStyle w:val="ListParagraph"/>
        <w:numPr>
          <w:ilvl w:val="0"/>
          <w:numId w:val="2"/>
        </w:numPr>
        <w:spacing w:after="0" w:line="240" w:lineRule="auto"/>
        <w:jc w:val="both"/>
      </w:pPr>
      <w:r>
        <w:t>Limits on consumer legal remedies</w:t>
      </w:r>
      <w:r w:rsidR="001E21A7">
        <w:t xml:space="preserve">, such as </w:t>
      </w:r>
      <w:r w:rsidR="00957EC4">
        <w:t>mandato</w:t>
      </w:r>
      <w:r w:rsidR="004F2FF0">
        <w:t>ry arbitration</w:t>
      </w:r>
      <w:r w:rsidR="00957EC4">
        <w:t xml:space="preserve"> clauses and unfair limits on damages that DG </w:t>
      </w:r>
      <w:r w:rsidR="001B383A">
        <w:t>customers</w:t>
      </w:r>
      <w:r w:rsidR="00957EC4">
        <w:t xml:space="preserve"> could be awarded in a legal dispute with third-party DG provider</w:t>
      </w:r>
      <w:r w:rsidR="001B383A">
        <w:t>s</w:t>
      </w:r>
      <w:r w:rsidR="00957EC4">
        <w:t>;</w:t>
      </w:r>
      <w:r w:rsidR="00957C7D">
        <w:t xml:space="preserve"> </w:t>
      </w:r>
      <w:r w:rsidR="00957C7D" w:rsidRPr="00072FFC">
        <w:t>and</w:t>
      </w:r>
    </w:p>
    <w:p w:rsidR="00957EC4" w:rsidRDefault="00957EC4" w:rsidP="00957EC4">
      <w:pPr>
        <w:spacing w:after="0" w:line="240" w:lineRule="auto"/>
        <w:jc w:val="both"/>
      </w:pPr>
    </w:p>
    <w:p w:rsidR="0063605E" w:rsidRDefault="00725AF3" w:rsidP="00A64CB4">
      <w:pPr>
        <w:pStyle w:val="ListParagraph"/>
        <w:numPr>
          <w:ilvl w:val="0"/>
          <w:numId w:val="2"/>
        </w:numPr>
        <w:spacing w:after="0" w:line="240" w:lineRule="auto"/>
        <w:jc w:val="both"/>
      </w:pPr>
      <w:r>
        <w:t>Inadequate disclosure of contract terms</w:t>
      </w:r>
      <w:r w:rsidR="002445F3">
        <w:t>,</w:t>
      </w:r>
      <w:r w:rsidR="00957EC4">
        <w:t xml:space="preserve"> </w:t>
      </w:r>
      <w:r w:rsidR="000E5C2A">
        <w:t>such as</w:t>
      </w:r>
      <w:r w:rsidR="001B383A">
        <w:t xml:space="preserve"> failure of </w:t>
      </w:r>
      <w:r w:rsidR="00957EC4">
        <w:t>third-party DG provider</w:t>
      </w:r>
      <w:r w:rsidR="001B383A">
        <w:t>s</w:t>
      </w:r>
      <w:r w:rsidR="00957EC4">
        <w:t xml:space="preserve"> to engage the </w:t>
      </w:r>
      <w:r w:rsidR="008506BC">
        <w:t xml:space="preserve">DG </w:t>
      </w:r>
      <w:r w:rsidR="00957EC4">
        <w:t xml:space="preserve">consumer in a true “arm’s length” transaction where the </w:t>
      </w:r>
      <w:r w:rsidR="008506BC">
        <w:t>consumer</w:t>
      </w:r>
      <w:r w:rsidR="00957EC4">
        <w:t xml:space="preserve"> is fully aware of their obligations under the contract</w:t>
      </w:r>
      <w:r w:rsidR="004A7C83">
        <w:t>.</w:t>
      </w:r>
    </w:p>
    <w:p w:rsidR="00F1055D" w:rsidRDefault="00F1055D" w:rsidP="00EC616B">
      <w:pPr>
        <w:spacing w:after="240" w:line="240" w:lineRule="auto"/>
      </w:pPr>
    </w:p>
    <w:p w:rsidR="00C21743" w:rsidRDefault="00CA1AB0" w:rsidP="00EC616B">
      <w:pPr>
        <w:spacing w:after="240" w:line="240" w:lineRule="auto"/>
        <w:rPr>
          <w:rFonts w:cs="Times New Roman"/>
          <w:szCs w:val="24"/>
        </w:rPr>
      </w:pPr>
      <w:r w:rsidRPr="006F12F9">
        <w:rPr>
          <w:rFonts w:cs="Times New Roman"/>
          <w:b/>
          <w:i/>
          <w:szCs w:val="24"/>
        </w:rPr>
        <w:t>Now, therefore, be it resolved</w:t>
      </w:r>
      <w:r w:rsidRPr="0084520A">
        <w:rPr>
          <w:rFonts w:cs="Times New Roman"/>
          <w:szCs w:val="24"/>
        </w:rPr>
        <w:t xml:space="preserve">, </w:t>
      </w:r>
      <w:r w:rsidR="00C21743">
        <w:rPr>
          <w:rFonts w:cs="Times New Roman"/>
          <w:szCs w:val="24"/>
        </w:rPr>
        <w:t xml:space="preserve">NASUCA acknowledges the growing </w:t>
      </w:r>
      <w:r w:rsidR="00306673">
        <w:rPr>
          <w:rFonts w:cs="Times New Roman"/>
          <w:szCs w:val="24"/>
        </w:rPr>
        <w:t>distributed generation</w:t>
      </w:r>
      <w:r w:rsidR="00C21743">
        <w:rPr>
          <w:rFonts w:cs="Times New Roman"/>
          <w:szCs w:val="24"/>
        </w:rPr>
        <w:t xml:space="preserve"> market</w:t>
      </w:r>
      <w:r w:rsidR="00306673">
        <w:rPr>
          <w:rFonts w:cs="Times New Roman"/>
          <w:szCs w:val="24"/>
        </w:rPr>
        <w:t xml:space="preserve"> and </w:t>
      </w:r>
      <w:r w:rsidR="001E21A7">
        <w:rPr>
          <w:rFonts w:cs="Times New Roman"/>
          <w:szCs w:val="24"/>
        </w:rPr>
        <w:t>supports efforts to establish measures that</w:t>
      </w:r>
      <w:r w:rsidR="00F1055D">
        <w:rPr>
          <w:rFonts w:cs="Times New Roman"/>
          <w:szCs w:val="24"/>
        </w:rPr>
        <w:t xml:space="preserve"> enhance</w:t>
      </w:r>
      <w:r w:rsidR="001E21A7">
        <w:rPr>
          <w:rFonts w:cs="Times New Roman"/>
          <w:szCs w:val="24"/>
        </w:rPr>
        <w:t xml:space="preserve"> protect</w:t>
      </w:r>
      <w:r w:rsidR="00F1055D">
        <w:rPr>
          <w:rFonts w:cs="Times New Roman"/>
          <w:szCs w:val="24"/>
        </w:rPr>
        <w:t>ion of</w:t>
      </w:r>
      <w:r w:rsidR="001E21A7">
        <w:rPr>
          <w:rFonts w:cs="Times New Roman"/>
          <w:szCs w:val="24"/>
        </w:rPr>
        <w:t xml:space="preserve"> DG</w:t>
      </w:r>
      <w:r w:rsidR="001B383A">
        <w:rPr>
          <w:rFonts w:cs="Times New Roman"/>
          <w:szCs w:val="24"/>
        </w:rPr>
        <w:t xml:space="preserve"> customers</w:t>
      </w:r>
      <w:r w:rsidR="00F41B44">
        <w:rPr>
          <w:rFonts w:cs="Times New Roman"/>
          <w:szCs w:val="24"/>
        </w:rPr>
        <w:t>; and</w:t>
      </w:r>
    </w:p>
    <w:p w:rsidR="00952557" w:rsidRDefault="00952557" w:rsidP="00952557">
      <w:pPr>
        <w:spacing w:after="240" w:line="240" w:lineRule="auto"/>
        <w:rPr>
          <w:rFonts w:cs="Times New Roman"/>
          <w:szCs w:val="24"/>
        </w:rPr>
      </w:pPr>
      <w:r w:rsidRPr="006F12F9">
        <w:rPr>
          <w:rFonts w:cs="Times New Roman"/>
          <w:b/>
          <w:i/>
          <w:szCs w:val="24"/>
        </w:rPr>
        <w:t>Be it further resolved</w:t>
      </w:r>
      <w:r>
        <w:rPr>
          <w:rFonts w:cs="Times New Roman"/>
          <w:szCs w:val="24"/>
        </w:rPr>
        <w:t xml:space="preserve">, that NASUCA encourages state legislatures, </w:t>
      </w:r>
      <w:r w:rsidRPr="006E5B0D">
        <w:rPr>
          <w:rFonts w:cs="Times New Roman"/>
          <w:szCs w:val="24"/>
        </w:rPr>
        <w:t>state public utility commissions</w:t>
      </w:r>
      <w:r>
        <w:rPr>
          <w:rFonts w:cs="Times New Roman"/>
          <w:szCs w:val="24"/>
        </w:rPr>
        <w:t xml:space="preserve">, consumer advocates, state attorneys general and other consumer protection agencies to coordinate </w:t>
      </w:r>
      <w:r w:rsidR="00957C7D" w:rsidRPr="00072FFC">
        <w:rPr>
          <w:rFonts w:cs="Times New Roman"/>
          <w:szCs w:val="24"/>
        </w:rPr>
        <w:t>their respective activities in regard to this market in order</w:t>
      </w:r>
      <w:r w:rsidR="00957C7D">
        <w:rPr>
          <w:rFonts w:cs="Times New Roman"/>
          <w:szCs w:val="24"/>
        </w:rPr>
        <w:t xml:space="preserve"> </w:t>
      </w:r>
      <w:r>
        <w:rPr>
          <w:rFonts w:cs="Times New Roman"/>
          <w:szCs w:val="24"/>
        </w:rPr>
        <w:t xml:space="preserve">to: </w:t>
      </w:r>
    </w:p>
    <w:p w:rsidR="00952557" w:rsidRDefault="00952557" w:rsidP="00952557">
      <w:pPr>
        <w:pStyle w:val="ListParagraph"/>
        <w:numPr>
          <w:ilvl w:val="0"/>
          <w:numId w:val="4"/>
        </w:numPr>
        <w:spacing w:after="240" w:line="240" w:lineRule="auto"/>
        <w:rPr>
          <w:rFonts w:cs="Times New Roman"/>
          <w:szCs w:val="24"/>
        </w:rPr>
      </w:pPr>
      <w:r>
        <w:rPr>
          <w:rFonts w:cs="Times New Roman"/>
          <w:szCs w:val="24"/>
        </w:rPr>
        <w:t>E</w:t>
      </w:r>
      <w:r w:rsidRPr="00952557">
        <w:rPr>
          <w:rFonts w:cs="Times New Roman"/>
          <w:szCs w:val="24"/>
        </w:rPr>
        <w:t xml:space="preserve">nsure that the rights of DG customers are fully and fairly protected and enforced under existing, or if necessary, new statutes and regulations; </w:t>
      </w:r>
    </w:p>
    <w:p w:rsidR="00952557" w:rsidRDefault="00952557" w:rsidP="00952557">
      <w:pPr>
        <w:pStyle w:val="ListParagraph"/>
        <w:spacing w:after="240" w:line="240" w:lineRule="auto"/>
        <w:rPr>
          <w:rFonts w:cs="Times New Roman"/>
          <w:szCs w:val="24"/>
        </w:rPr>
      </w:pPr>
    </w:p>
    <w:p w:rsidR="00952557" w:rsidRPr="00952557" w:rsidRDefault="008F4155" w:rsidP="008F4155">
      <w:pPr>
        <w:pStyle w:val="ListParagraph"/>
        <w:numPr>
          <w:ilvl w:val="0"/>
          <w:numId w:val="4"/>
        </w:numPr>
        <w:spacing w:after="240" w:line="240" w:lineRule="auto"/>
        <w:rPr>
          <w:rFonts w:cs="Times New Roman"/>
          <w:szCs w:val="24"/>
        </w:rPr>
      </w:pPr>
      <w:r w:rsidRPr="008F4155">
        <w:rPr>
          <w:rFonts w:cs="Times New Roman"/>
          <w:szCs w:val="24"/>
        </w:rPr>
        <w:t>Educate consumers regarding their rights and obligations under third-party DG contracts either from a utility or third party program</w:t>
      </w:r>
      <w:r w:rsidR="00952557" w:rsidRPr="00952557">
        <w:rPr>
          <w:rFonts w:cs="Times New Roman"/>
          <w:szCs w:val="24"/>
        </w:rPr>
        <w:t xml:space="preserve">; </w:t>
      </w:r>
    </w:p>
    <w:p w:rsidR="00952557" w:rsidRDefault="00952557" w:rsidP="00952557">
      <w:pPr>
        <w:pStyle w:val="ListParagraph"/>
        <w:spacing w:after="240" w:line="240" w:lineRule="auto"/>
        <w:rPr>
          <w:rFonts w:cs="Times New Roman"/>
          <w:szCs w:val="24"/>
        </w:rPr>
      </w:pPr>
    </w:p>
    <w:p w:rsidR="00952557" w:rsidRPr="00952557" w:rsidRDefault="00952557" w:rsidP="00952557">
      <w:pPr>
        <w:pStyle w:val="ListParagraph"/>
        <w:numPr>
          <w:ilvl w:val="0"/>
          <w:numId w:val="4"/>
        </w:numPr>
        <w:spacing w:after="240" w:line="240" w:lineRule="auto"/>
        <w:rPr>
          <w:rFonts w:cs="Times New Roman"/>
          <w:szCs w:val="24"/>
        </w:rPr>
      </w:pPr>
      <w:r>
        <w:rPr>
          <w:rFonts w:cs="Times New Roman"/>
          <w:szCs w:val="24"/>
        </w:rPr>
        <w:t>E</w:t>
      </w:r>
      <w:r w:rsidRPr="00952557">
        <w:rPr>
          <w:rFonts w:cs="Times New Roman"/>
          <w:szCs w:val="24"/>
        </w:rPr>
        <w:t>stablish and enforce standards for the DG marketplace which promote equitable treatment and safety of consumers; and</w:t>
      </w:r>
    </w:p>
    <w:p w:rsidR="001E21A7" w:rsidRPr="001E21A7" w:rsidRDefault="00CA1AB0" w:rsidP="001E21A7">
      <w:pPr>
        <w:spacing w:line="240" w:lineRule="auto"/>
        <w:rPr>
          <w:rFonts w:cs="Times New Roman"/>
          <w:szCs w:val="24"/>
        </w:rPr>
      </w:pPr>
      <w:r w:rsidRPr="006F12F9">
        <w:rPr>
          <w:rFonts w:cs="Times New Roman"/>
          <w:b/>
          <w:i/>
          <w:szCs w:val="24"/>
        </w:rPr>
        <w:t>Be it further resolved</w:t>
      </w:r>
      <w:r w:rsidRPr="0084520A">
        <w:rPr>
          <w:rFonts w:cs="Times New Roman"/>
          <w:szCs w:val="24"/>
        </w:rPr>
        <w:t xml:space="preserve">, </w:t>
      </w:r>
      <w:r w:rsidR="00AA56B4">
        <w:rPr>
          <w:rFonts w:cs="Times New Roman"/>
          <w:szCs w:val="24"/>
        </w:rPr>
        <w:t xml:space="preserve">that </w:t>
      </w:r>
      <w:r w:rsidR="003958E6">
        <w:rPr>
          <w:rFonts w:cs="Times New Roman"/>
          <w:szCs w:val="24"/>
        </w:rPr>
        <w:t xml:space="preserve">state legislatures are encouraged to require that </w:t>
      </w:r>
      <w:r w:rsidR="004E6778">
        <w:rPr>
          <w:rFonts w:cs="Times New Roman"/>
          <w:szCs w:val="24"/>
        </w:rPr>
        <w:t>sta</w:t>
      </w:r>
      <w:r w:rsidR="003958E6">
        <w:rPr>
          <w:rFonts w:cs="Times New Roman"/>
          <w:szCs w:val="24"/>
        </w:rPr>
        <w:t>te public utility commissions</w:t>
      </w:r>
      <w:r w:rsidR="00EF02F8">
        <w:rPr>
          <w:rFonts w:cs="Times New Roman"/>
          <w:szCs w:val="24"/>
        </w:rPr>
        <w:t>, and other relevant consumer protection agencies,</w:t>
      </w:r>
      <w:r w:rsidR="003958E6">
        <w:rPr>
          <w:rFonts w:cs="Times New Roman"/>
          <w:szCs w:val="24"/>
        </w:rPr>
        <w:t xml:space="preserve"> </w:t>
      </w:r>
      <w:r w:rsidR="000F5353">
        <w:rPr>
          <w:rFonts w:cs="Times New Roman"/>
          <w:szCs w:val="24"/>
        </w:rPr>
        <w:t>establish standards that require third-party DG providers to fully</w:t>
      </w:r>
      <w:r w:rsidR="00965D2C">
        <w:rPr>
          <w:rFonts w:cs="Times New Roman"/>
          <w:szCs w:val="24"/>
        </w:rPr>
        <w:t xml:space="preserve"> and accurately</w:t>
      </w:r>
      <w:r w:rsidR="000F5353">
        <w:rPr>
          <w:rFonts w:cs="Times New Roman"/>
          <w:szCs w:val="24"/>
        </w:rPr>
        <w:t xml:space="preserve"> </w:t>
      </w:r>
      <w:r w:rsidR="00F1055D">
        <w:rPr>
          <w:rFonts w:cs="Times New Roman"/>
          <w:szCs w:val="24"/>
        </w:rPr>
        <w:t>disclose and explain</w:t>
      </w:r>
      <w:r w:rsidR="00965D2C">
        <w:rPr>
          <w:rFonts w:cs="Times New Roman"/>
          <w:szCs w:val="24"/>
        </w:rPr>
        <w:t xml:space="preserve"> information related to the installation of DG systems on consumers’ property including, but not limited to, the expected energy output </w:t>
      </w:r>
      <w:r w:rsidR="001B383A">
        <w:rPr>
          <w:rFonts w:cs="Times New Roman"/>
          <w:szCs w:val="24"/>
        </w:rPr>
        <w:t xml:space="preserve">and value </w:t>
      </w:r>
      <w:r w:rsidR="00965D2C">
        <w:rPr>
          <w:rFonts w:cs="Times New Roman"/>
          <w:szCs w:val="24"/>
        </w:rPr>
        <w:t>of the</w:t>
      </w:r>
      <w:r w:rsidR="001B383A">
        <w:rPr>
          <w:rFonts w:cs="Times New Roman"/>
          <w:szCs w:val="24"/>
        </w:rPr>
        <w:t xml:space="preserve"> DG</w:t>
      </w:r>
      <w:r w:rsidR="00965D2C">
        <w:rPr>
          <w:rFonts w:cs="Times New Roman"/>
          <w:szCs w:val="24"/>
        </w:rPr>
        <w:t xml:space="preserve"> system, the extent of property alterations necessary for </w:t>
      </w:r>
      <w:r w:rsidR="004A7C83">
        <w:rPr>
          <w:rFonts w:cs="Times New Roman"/>
          <w:szCs w:val="24"/>
        </w:rPr>
        <w:t xml:space="preserve">the realization of the </w:t>
      </w:r>
      <w:r w:rsidR="00965D2C">
        <w:rPr>
          <w:rFonts w:cs="Times New Roman"/>
          <w:szCs w:val="24"/>
        </w:rPr>
        <w:t>full benefit of the DG system and</w:t>
      </w:r>
      <w:r w:rsidR="001E21A7">
        <w:rPr>
          <w:rFonts w:cs="Times New Roman"/>
          <w:szCs w:val="24"/>
        </w:rPr>
        <w:t xml:space="preserve"> t</w:t>
      </w:r>
      <w:r w:rsidR="000F5353" w:rsidRPr="001E21A7">
        <w:rPr>
          <w:rFonts w:cs="Times New Roman"/>
          <w:szCs w:val="24"/>
        </w:rPr>
        <w:t>he terms and conditions in their contracts;</w:t>
      </w:r>
      <w:r w:rsidR="00F41B44">
        <w:rPr>
          <w:rFonts w:cs="Times New Roman"/>
          <w:szCs w:val="24"/>
        </w:rPr>
        <w:t xml:space="preserve"> and</w:t>
      </w:r>
    </w:p>
    <w:p w:rsidR="000F5353" w:rsidRDefault="00334A5D" w:rsidP="00CA1AB0">
      <w:pPr>
        <w:spacing w:line="240" w:lineRule="auto"/>
        <w:rPr>
          <w:rFonts w:cs="Times New Roman"/>
          <w:szCs w:val="24"/>
        </w:rPr>
      </w:pPr>
      <w:r w:rsidRPr="006F12F9">
        <w:rPr>
          <w:rFonts w:cs="Times New Roman"/>
          <w:b/>
          <w:i/>
          <w:szCs w:val="24"/>
        </w:rPr>
        <w:lastRenderedPageBreak/>
        <w:t>Be it further resolved</w:t>
      </w:r>
      <w:r w:rsidRPr="006F12F9">
        <w:rPr>
          <w:rFonts w:cs="Times New Roman"/>
          <w:b/>
          <w:szCs w:val="24"/>
        </w:rPr>
        <w:t>,</w:t>
      </w:r>
      <w:r>
        <w:rPr>
          <w:rFonts w:cs="Times New Roman"/>
          <w:szCs w:val="24"/>
        </w:rPr>
        <w:t xml:space="preserve"> that</w:t>
      </w:r>
      <w:r w:rsidR="000F5353">
        <w:rPr>
          <w:rFonts w:cs="Times New Roman"/>
          <w:szCs w:val="24"/>
        </w:rPr>
        <w:t xml:space="preserve"> state legislatures are encouraged to</w:t>
      </w:r>
      <w:r w:rsidR="00952557">
        <w:rPr>
          <w:rFonts w:cs="Times New Roman"/>
          <w:szCs w:val="24"/>
        </w:rPr>
        <w:t xml:space="preserve"> </w:t>
      </w:r>
      <w:r w:rsidR="000F5353">
        <w:rPr>
          <w:rFonts w:cs="Times New Roman"/>
          <w:szCs w:val="24"/>
        </w:rPr>
        <w:t>review and delineate the jurisdiction of state public utility commissions</w:t>
      </w:r>
      <w:r w:rsidR="008506BC">
        <w:rPr>
          <w:rFonts w:cs="Times New Roman"/>
          <w:szCs w:val="24"/>
        </w:rPr>
        <w:t xml:space="preserve"> over third-party DG providers</w:t>
      </w:r>
      <w:r w:rsidR="004A7C83">
        <w:rPr>
          <w:rFonts w:cs="Times New Roman"/>
          <w:szCs w:val="24"/>
        </w:rPr>
        <w:t xml:space="preserve"> and</w:t>
      </w:r>
      <w:r w:rsidR="008506BC">
        <w:rPr>
          <w:rFonts w:cs="Times New Roman"/>
          <w:szCs w:val="24"/>
        </w:rPr>
        <w:t xml:space="preserve"> </w:t>
      </w:r>
      <w:r>
        <w:rPr>
          <w:rFonts w:cs="Times New Roman"/>
          <w:szCs w:val="24"/>
        </w:rPr>
        <w:t>conduct reviews of</w:t>
      </w:r>
      <w:r w:rsidR="008506BC">
        <w:rPr>
          <w:rFonts w:cs="Times New Roman"/>
          <w:szCs w:val="24"/>
        </w:rPr>
        <w:t xml:space="preserve"> complaint resolution processes and</w:t>
      </w:r>
      <w:r>
        <w:rPr>
          <w:rFonts w:cs="Times New Roman"/>
          <w:szCs w:val="24"/>
        </w:rPr>
        <w:t xml:space="preserve"> legal remedies available to </w:t>
      </w:r>
      <w:r w:rsidR="00114074">
        <w:rPr>
          <w:rFonts w:cs="Times New Roman"/>
          <w:szCs w:val="24"/>
        </w:rPr>
        <w:t>consumers</w:t>
      </w:r>
      <w:r>
        <w:rPr>
          <w:rFonts w:cs="Times New Roman"/>
          <w:szCs w:val="24"/>
        </w:rPr>
        <w:t xml:space="preserve"> in third-party DG contracts in order to determine wheth</w:t>
      </w:r>
      <w:r w:rsidR="00AA56B4">
        <w:rPr>
          <w:rFonts w:cs="Times New Roman"/>
          <w:szCs w:val="24"/>
        </w:rPr>
        <w:t>er such remedies are sufficient, reasonable and fair;</w:t>
      </w:r>
      <w:r w:rsidR="00F41B44">
        <w:rPr>
          <w:rFonts w:cs="Times New Roman"/>
          <w:szCs w:val="24"/>
        </w:rPr>
        <w:t xml:space="preserve"> and</w:t>
      </w:r>
    </w:p>
    <w:p w:rsidR="00334A5D" w:rsidRDefault="00306673" w:rsidP="00CA1AB0">
      <w:pPr>
        <w:spacing w:line="240" w:lineRule="auto"/>
        <w:rPr>
          <w:rFonts w:cs="Times New Roman"/>
          <w:szCs w:val="24"/>
        </w:rPr>
      </w:pPr>
      <w:r w:rsidRPr="006F12F9">
        <w:rPr>
          <w:rFonts w:cs="Times New Roman"/>
          <w:b/>
          <w:i/>
          <w:szCs w:val="24"/>
        </w:rPr>
        <w:t>Be it further resolved</w:t>
      </w:r>
      <w:r>
        <w:rPr>
          <w:rFonts w:cs="Times New Roman"/>
          <w:szCs w:val="24"/>
        </w:rPr>
        <w:t xml:space="preserve">, </w:t>
      </w:r>
      <w:r w:rsidRPr="00306673">
        <w:rPr>
          <w:rFonts w:cs="Times New Roman"/>
          <w:szCs w:val="24"/>
        </w:rPr>
        <w:t>that NASUCA authorizes its Executive Committee to develop specific positions and to take appropriate actions consistent with the terms of this resolution.  The Executive Committee shall advise the membership of any proposed action prior to taking such action, if possible</w:t>
      </w:r>
      <w:r w:rsidR="001D25D8">
        <w:rPr>
          <w:rFonts w:cs="Times New Roman"/>
          <w:szCs w:val="24"/>
        </w:rPr>
        <w:t>, and shall</w:t>
      </w:r>
      <w:r w:rsidR="002A5E6C">
        <w:rPr>
          <w:rFonts w:cs="Times New Roman"/>
          <w:szCs w:val="24"/>
        </w:rPr>
        <w:t xml:space="preserve"> </w:t>
      </w:r>
      <w:r w:rsidRPr="00306673">
        <w:rPr>
          <w:rFonts w:cs="Times New Roman"/>
          <w:szCs w:val="24"/>
        </w:rPr>
        <w:t>notify the membership of any action taken pursuant to the resolution.</w:t>
      </w:r>
    </w:p>
    <w:p w:rsidR="006F12F9" w:rsidRPr="00306673" w:rsidRDefault="006F12F9" w:rsidP="00CA1AB0">
      <w:pPr>
        <w:spacing w:line="240" w:lineRule="auto"/>
        <w:rPr>
          <w:rFonts w:cs="Times New Roman"/>
          <w:szCs w:val="24"/>
        </w:rPr>
      </w:pPr>
    </w:p>
    <w:p w:rsidR="00CA1AB0" w:rsidRDefault="00CA1AB0" w:rsidP="00CA1AB0">
      <w:pPr>
        <w:spacing w:after="0" w:line="240" w:lineRule="auto"/>
        <w:rPr>
          <w:rFonts w:cs="Times New Roman"/>
          <w:szCs w:val="24"/>
        </w:rPr>
      </w:pPr>
      <w:r w:rsidRPr="006E5B0D">
        <w:rPr>
          <w:rFonts w:cs="Times New Roman"/>
          <w:szCs w:val="24"/>
        </w:rPr>
        <w:t xml:space="preserve">Submitted by the </w:t>
      </w:r>
      <w:r>
        <w:rPr>
          <w:rFonts w:cs="Times New Roman"/>
          <w:szCs w:val="24"/>
        </w:rPr>
        <w:t>Distributed Energy Resources Committee</w:t>
      </w:r>
    </w:p>
    <w:p w:rsidR="00CA1AB0" w:rsidRDefault="00CA1AB0" w:rsidP="00CA1AB0">
      <w:pPr>
        <w:spacing w:after="0" w:line="240" w:lineRule="auto"/>
        <w:rPr>
          <w:rFonts w:cs="Times New Roman"/>
          <w:szCs w:val="24"/>
        </w:rPr>
      </w:pPr>
      <w:r>
        <w:rPr>
          <w:rFonts w:cs="Times New Roman"/>
          <w:szCs w:val="24"/>
        </w:rPr>
        <w:t>Approved</w:t>
      </w:r>
      <w:r w:rsidR="008A7888">
        <w:rPr>
          <w:rFonts w:cs="Times New Roman"/>
          <w:szCs w:val="24"/>
        </w:rPr>
        <w:t>:</w:t>
      </w:r>
      <w:r>
        <w:rPr>
          <w:rFonts w:cs="Times New Roman"/>
          <w:szCs w:val="24"/>
        </w:rPr>
        <w:t xml:space="preserve"> November </w:t>
      </w:r>
      <w:r w:rsidR="00515A52" w:rsidRPr="00072FFC">
        <w:rPr>
          <w:rFonts w:cs="Times New Roman"/>
          <w:szCs w:val="24"/>
        </w:rPr>
        <w:t>18</w:t>
      </w:r>
      <w:r>
        <w:rPr>
          <w:rFonts w:cs="Times New Roman"/>
          <w:szCs w:val="24"/>
        </w:rPr>
        <w:t>, 2014</w:t>
      </w:r>
    </w:p>
    <w:p w:rsidR="005B5774" w:rsidRPr="00C21743" w:rsidRDefault="00CA1AB0" w:rsidP="00C21743">
      <w:pPr>
        <w:spacing w:line="240" w:lineRule="auto"/>
        <w:rPr>
          <w:rFonts w:cs="Times New Roman"/>
          <w:szCs w:val="24"/>
        </w:rPr>
      </w:pPr>
      <w:r>
        <w:rPr>
          <w:rFonts w:cs="Times New Roman"/>
          <w:szCs w:val="24"/>
        </w:rPr>
        <w:t>San Francisco, California</w:t>
      </w:r>
      <w:r w:rsidR="00F95E3E">
        <w:rPr>
          <w:rFonts w:cs="Times New Roman"/>
          <w:szCs w:val="24"/>
        </w:rPr>
        <w:br/>
        <w:t>Abstained: Michigan</w:t>
      </w:r>
      <w:bookmarkStart w:id="0" w:name="_GoBack"/>
      <w:bookmarkEnd w:id="0"/>
    </w:p>
    <w:sectPr w:rsidR="005B5774" w:rsidRPr="00C21743" w:rsidSect="00A64CB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B74" w:rsidRDefault="00A05B74" w:rsidP="00924D12">
      <w:pPr>
        <w:spacing w:after="0" w:line="240" w:lineRule="auto"/>
      </w:pPr>
      <w:r>
        <w:separator/>
      </w:r>
    </w:p>
  </w:endnote>
  <w:endnote w:type="continuationSeparator" w:id="0">
    <w:p w:rsidR="00A05B74" w:rsidRDefault="00A05B74" w:rsidP="00924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778" w:rsidRDefault="004E67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487234"/>
      <w:docPartObj>
        <w:docPartGallery w:val="Page Numbers (Bottom of Page)"/>
        <w:docPartUnique/>
      </w:docPartObj>
    </w:sdtPr>
    <w:sdtEndPr>
      <w:rPr>
        <w:noProof/>
      </w:rPr>
    </w:sdtEndPr>
    <w:sdtContent>
      <w:p w:rsidR="004E6778" w:rsidRDefault="004E6778">
        <w:pPr>
          <w:pStyle w:val="Footer"/>
          <w:jc w:val="center"/>
        </w:pPr>
        <w:r>
          <w:fldChar w:fldCharType="begin"/>
        </w:r>
        <w:r>
          <w:instrText xml:space="preserve"> PAGE   \* MERGEFORMAT </w:instrText>
        </w:r>
        <w:r>
          <w:fldChar w:fldCharType="separate"/>
        </w:r>
        <w:r w:rsidR="00F95E3E">
          <w:rPr>
            <w:noProof/>
          </w:rPr>
          <w:t>3</w:t>
        </w:r>
        <w:r>
          <w:rPr>
            <w:noProof/>
          </w:rPr>
          <w:fldChar w:fldCharType="end"/>
        </w:r>
      </w:p>
    </w:sdtContent>
  </w:sdt>
  <w:p w:rsidR="004E6778" w:rsidRDefault="004E67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778" w:rsidRDefault="004E67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B74" w:rsidRDefault="00A05B74" w:rsidP="00924D12">
      <w:pPr>
        <w:spacing w:after="0" w:line="240" w:lineRule="auto"/>
      </w:pPr>
      <w:r>
        <w:separator/>
      </w:r>
    </w:p>
  </w:footnote>
  <w:footnote w:type="continuationSeparator" w:id="0">
    <w:p w:rsidR="00A05B74" w:rsidRDefault="00A05B74" w:rsidP="00924D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778" w:rsidRDefault="004E67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778" w:rsidRDefault="004E67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778" w:rsidRDefault="004E67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5000"/>
    <w:multiLevelType w:val="hybridMultilevel"/>
    <w:tmpl w:val="C9B47796"/>
    <w:lvl w:ilvl="0" w:tplc="256AC6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4040E"/>
    <w:multiLevelType w:val="hybridMultilevel"/>
    <w:tmpl w:val="CF58F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FB17BD"/>
    <w:multiLevelType w:val="hybridMultilevel"/>
    <w:tmpl w:val="2AE0175E"/>
    <w:lvl w:ilvl="0" w:tplc="DC78A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9EB2D64"/>
    <w:multiLevelType w:val="hybridMultilevel"/>
    <w:tmpl w:val="40ECE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B0"/>
    <w:rsid w:val="000105A2"/>
    <w:rsid w:val="00072FFC"/>
    <w:rsid w:val="000E5C2A"/>
    <w:rsid w:val="000E6DC6"/>
    <w:rsid w:val="000F5353"/>
    <w:rsid w:val="00114074"/>
    <w:rsid w:val="001A6385"/>
    <w:rsid w:val="001B383A"/>
    <w:rsid w:val="001D25D8"/>
    <w:rsid w:val="001E21A7"/>
    <w:rsid w:val="002445F3"/>
    <w:rsid w:val="00247151"/>
    <w:rsid w:val="00276B5E"/>
    <w:rsid w:val="002A5E6C"/>
    <w:rsid w:val="00306673"/>
    <w:rsid w:val="00313138"/>
    <w:rsid w:val="00334A5D"/>
    <w:rsid w:val="003958E6"/>
    <w:rsid w:val="003F5054"/>
    <w:rsid w:val="004A7C83"/>
    <w:rsid w:val="004D762C"/>
    <w:rsid w:val="004E6778"/>
    <w:rsid w:val="004F2FF0"/>
    <w:rsid w:val="00515A52"/>
    <w:rsid w:val="00562F8B"/>
    <w:rsid w:val="005B5774"/>
    <w:rsid w:val="0063605E"/>
    <w:rsid w:val="006D63E2"/>
    <w:rsid w:val="006F12F9"/>
    <w:rsid w:val="00725AF3"/>
    <w:rsid w:val="007A7F9C"/>
    <w:rsid w:val="0084520A"/>
    <w:rsid w:val="008506BC"/>
    <w:rsid w:val="008A7888"/>
    <w:rsid w:val="008B7324"/>
    <w:rsid w:val="008F4155"/>
    <w:rsid w:val="00924D12"/>
    <w:rsid w:val="00952557"/>
    <w:rsid w:val="00957C7D"/>
    <w:rsid w:val="00957EC4"/>
    <w:rsid w:val="00965D2C"/>
    <w:rsid w:val="009D5140"/>
    <w:rsid w:val="00A05B74"/>
    <w:rsid w:val="00A5444A"/>
    <w:rsid w:val="00A64CB4"/>
    <w:rsid w:val="00AA56B4"/>
    <w:rsid w:val="00AD3856"/>
    <w:rsid w:val="00B07663"/>
    <w:rsid w:val="00B235DB"/>
    <w:rsid w:val="00B41C5C"/>
    <w:rsid w:val="00B5379B"/>
    <w:rsid w:val="00C21743"/>
    <w:rsid w:val="00C32D5D"/>
    <w:rsid w:val="00C66CE2"/>
    <w:rsid w:val="00CA1AB0"/>
    <w:rsid w:val="00EC616B"/>
    <w:rsid w:val="00EF02F8"/>
    <w:rsid w:val="00F00D9C"/>
    <w:rsid w:val="00F1055D"/>
    <w:rsid w:val="00F41B44"/>
    <w:rsid w:val="00F95E3E"/>
    <w:rsid w:val="00FA2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AB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1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AB0"/>
    <w:rPr>
      <w:rFonts w:ascii="Times New Roman" w:hAnsi="Times New Roman"/>
      <w:sz w:val="24"/>
    </w:rPr>
  </w:style>
  <w:style w:type="paragraph" w:styleId="NoSpacing">
    <w:name w:val="No Spacing"/>
    <w:uiPriority w:val="1"/>
    <w:qFormat/>
    <w:rsid w:val="00CA1AB0"/>
    <w:pPr>
      <w:spacing w:after="0" w:line="240" w:lineRule="auto"/>
    </w:pPr>
    <w:rPr>
      <w:rFonts w:ascii="Times New Roman" w:hAnsi="Times New Roman"/>
      <w:sz w:val="24"/>
    </w:rPr>
  </w:style>
  <w:style w:type="paragraph" w:styleId="ListParagraph">
    <w:name w:val="List Paragraph"/>
    <w:basedOn w:val="Normal"/>
    <w:uiPriority w:val="34"/>
    <w:qFormat/>
    <w:rsid w:val="00CA1AB0"/>
    <w:pPr>
      <w:ind w:left="720"/>
      <w:contextualSpacing/>
    </w:pPr>
  </w:style>
  <w:style w:type="paragraph" w:styleId="FootnoteText">
    <w:name w:val="footnote text"/>
    <w:basedOn w:val="Normal"/>
    <w:link w:val="FootnoteTextChar"/>
    <w:uiPriority w:val="99"/>
    <w:semiHidden/>
    <w:unhideWhenUsed/>
    <w:rsid w:val="00924D12"/>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semiHidden/>
    <w:rsid w:val="00924D12"/>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24D12"/>
    <w:rPr>
      <w:vertAlign w:val="superscript"/>
    </w:rPr>
  </w:style>
  <w:style w:type="character" w:styleId="Hyperlink">
    <w:name w:val="Hyperlink"/>
    <w:basedOn w:val="DefaultParagraphFont"/>
    <w:uiPriority w:val="99"/>
    <w:unhideWhenUsed/>
    <w:rsid w:val="00924D12"/>
    <w:rPr>
      <w:color w:val="0000FF" w:themeColor="hyperlink"/>
      <w:u w:val="single"/>
    </w:rPr>
  </w:style>
  <w:style w:type="paragraph" w:styleId="BalloonText">
    <w:name w:val="Balloon Text"/>
    <w:basedOn w:val="Normal"/>
    <w:link w:val="BalloonTextChar"/>
    <w:uiPriority w:val="99"/>
    <w:semiHidden/>
    <w:unhideWhenUsed/>
    <w:rsid w:val="00AA5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6B4"/>
    <w:rPr>
      <w:rFonts w:ascii="Tahoma" w:hAnsi="Tahoma" w:cs="Tahoma"/>
      <w:sz w:val="16"/>
      <w:szCs w:val="16"/>
    </w:rPr>
  </w:style>
  <w:style w:type="paragraph" w:styleId="Header">
    <w:name w:val="header"/>
    <w:basedOn w:val="Normal"/>
    <w:link w:val="HeaderChar"/>
    <w:uiPriority w:val="99"/>
    <w:unhideWhenUsed/>
    <w:rsid w:val="000E6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DC6"/>
    <w:rPr>
      <w:rFonts w:ascii="Times New Roman" w:hAnsi="Times New Roman"/>
      <w:sz w:val="24"/>
    </w:rPr>
  </w:style>
  <w:style w:type="character" w:styleId="CommentReference">
    <w:name w:val="annotation reference"/>
    <w:basedOn w:val="DefaultParagraphFont"/>
    <w:uiPriority w:val="99"/>
    <w:semiHidden/>
    <w:unhideWhenUsed/>
    <w:rsid w:val="002445F3"/>
    <w:rPr>
      <w:sz w:val="16"/>
      <w:szCs w:val="16"/>
    </w:rPr>
  </w:style>
  <w:style w:type="paragraph" w:styleId="CommentText">
    <w:name w:val="annotation text"/>
    <w:basedOn w:val="Normal"/>
    <w:link w:val="CommentTextChar"/>
    <w:uiPriority w:val="99"/>
    <w:semiHidden/>
    <w:unhideWhenUsed/>
    <w:rsid w:val="002445F3"/>
    <w:pPr>
      <w:spacing w:line="240" w:lineRule="auto"/>
    </w:pPr>
    <w:rPr>
      <w:sz w:val="20"/>
      <w:szCs w:val="20"/>
    </w:rPr>
  </w:style>
  <w:style w:type="character" w:customStyle="1" w:styleId="CommentTextChar">
    <w:name w:val="Comment Text Char"/>
    <w:basedOn w:val="DefaultParagraphFont"/>
    <w:link w:val="CommentText"/>
    <w:uiPriority w:val="99"/>
    <w:semiHidden/>
    <w:rsid w:val="002445F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445F3"/>
    <w:rPr>
      <w:b/>
      <w:bCs/>
    </w:rPr>
  </w:style>
  <w:style w:type="character" w:customStyle="1" w:styleId="CommentSubjectChar">
    <w:name w:val="Comment Subject Char"/>
    <w:basedOn w:val="CommentTextChar"/>
    <w:link w:val="CommentSubject"/>
    <w:uiPriority w:val="99"/>
    <w:semiHidden/>
    <w:rsid w:val="002445F3"/>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AB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1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AB0"/>
    <w:rPr>
      <w:rFonts w:ascii="Times New Roman" w:hAnsi="Times New Roman"/>
      <w:sz w:val="24"/>
    </w:rPr>
  </w:style>
  <w:style w:type="paragraph" w:styleId="NoSpacing">
    <w:name w:val="No Spacing"/>
    <w:uiPriority w:val="1"/>
    <w:qFormat/>
    <w:rsid w:val="00CA1AB0"/>
    <w:pPr>
      <w:spacing w:after="0" w:line="240" w:lineRule="auto"/>
    </w:pPr>
    <w:rPr>
      <w:rFonts w:ascii="Times New Roman" w:hAnsi="Times New Roman"/>
      <w:sz w:val="24"/>
    </w:rPr>
  </w:style>
  <w:style w:type="paragraph" w:styleId="ListParagraph">
    <w:name w:val="List Paragraph"/>
    <w:basedOn w:val="Normal"/>
    <w:uiPriority w:val="34"/>
    <w:qFormat/>
    <w:rsid w:val="00CA1AB0"/>
    <w:pPr>
      <w:ind w:left="720"/>
      <w:contextualSpacing/>
    </w:pPr>
  </w:style>
  <w:style w:type="paragraph" w:styleId="FootnoteText">
    <w:name w:val="footnote text"/>
    <w:basedOn w:val="Normal"/>
    <w:link w:val="FootnoteTextChar"/>
    <w:uiPriority w:val="99"/>
    <w:semiHidden/>
    <w:unhideWhenUsed/>
    <w:rsid w:val="00924D12"/>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semiHidden/>
    <w:rsid w:val="00924D12"/>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24D12"/>
    <w:rPr>
      <w:vertAlign w:val="superscript"/>
    </w:rPr>
  </w:style>
  <w:style w:type="character" w:styleId="Hyperlink">
    <w:name w:val="Hyperlink"/>
    <w:basedOn w:val="DefaultParagraphFont"/>
    <w:uiPriority w:val="99"/>
    <w:unhideWhenUsed/>
    <w:rsid w:val="00924D12"/>
    <w:rPr>
      <w:color w:val="0000FF" w:themeColor="hyperlink"/>
      <w:u w:val="single"/>
    </w:rPr>
  </w:style>
  <w:style w:type="paragraph" w:styleId="BalloonText">
    <w:name w:val="Balloon Text"/>
    <w:basedOn w:val="Normal"/>
    <w:link w:val="BalloonTextChar"/>
    <w:uiPriority w:val="99"/>
    <w:semiHidden/>
    <w:unhideWhenUsed/>
    <w:rsid w:val="00AA5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6B4"/>
    <w:rPr>
      <w:rFonts w:ascii="Tahoma" w:hAnsi="Tahoma" w:cs="Tahoma"/>
      <w:sz w:val="16"/>
      <w:szCs w:val="16"/>
    </w:rPr>
  </w:style>
  <w:style w:type="paragraph" w:styleId="Header">
    <w:name w:val="header"/>
    <w:basedOn w:val="Normal"/>
    <w:link w:val="HeaderChar"/>
    <w:uiPriority w:val="99"/>
    <w:unhideWhenUsed/>
    <w:rsid w:val="000E6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DC6"/>
    <w:rPr>
      <w:rFonts w:ascii="Times New Roman" w:hAnsi="Times New Roman"/>
      <w:sz w:val="24"/>
    </w:rPr>
  </w:style>
  <w:style w:type="character" w:styleId="CommentReference">
    <w:name w:val="annotation reference"/>
    <w:basedOn w:val="DefaultParagraphFont"/>
    <w:uiPriority w:val="99"/>
    <w:semiHidden/>
    <w:unhideWhenUsed/>
    <w:rsid w:val="002445F3"/>
    <w:rPr>
      <w:sz w:val="16"/>
      <w:szCs w:val="16"/>
    </w:rPr>
  </w:style>
  <w:style w:type="paragraph" w:styleId="CommentText">
    <w:name w:val="annotation text"/>
    <w:basedOn w:val="Normal"/>
    <w:link w:val="CommentTextChar"/>
    <w:uiPriority w:val="99"/>
    <w:semiHidden/>
    <w:unhideWhenUsed/>
    <w:rsid w:val="002445F3"/>
    <w:pPr>
      <w:spacing w:line="240" w:lineRule="auto"/>
    </w:pPr>
    <w:rPr>
      <w:sz w:val="20"/>
      <w:szCs w:val="20"/>
    </w:rPr>
  </w:style>
  <w:style w:type="character" w:customStyle="1" w:styleId="CommentTextChar">
    <w:name w:val="Comment Text Char"/>
    <w:basedOn w:val="DefaultParagraphFont"/>
    <w:link w:val="CommentText"/>
    <w:uiPriority w:val="99"/>
    <w:semiHidden/>
    <w:rsid w:val="002445F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445F3"/>
    <w:rPr>
      <w:b/>
      <w:bCs/>
    </w:rPr>
  </w:style>
  <w:style w:type="character" w:customStyle="1" w:styleId="CommentSubjectChar">
    <w:name w:val="Comment Subject Char"/>
    <w:basedOn w:val="CommentTextChar"/>
    <w:link w:val="CommentSubject"/>
    <w:uiPriority w:val="99"/>
    <w:semiHidden/>
    <w:rsid w:val="002445F3"/>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Sitaraman</dc:creator>
  <cp:lastModifiedBy>Nicole</cp:lastModifiedBy>
  <cp:revision>3</cp:revision>
  <cp:lastPrinted>2014-09-19T16:53:00Z</cp:lastPrinted>
  <dcterms:created xsi:type="dcterms:W3CDTF">2014-12-08T16:53:00Z</dcterms:created>
  <dcterms:modified xsi:type="dcterms:W3CDTF">2014-12-08T17:01:00Z</dcterms:modified>
</cp:coreProperties>
</file>