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5E" w:rsidRPr="00B94B91" w:rsidRDefault="004E4064" w:rsidP="00A31126">
      <w:pPr>
        <w:spacing w:line="240" w:lineRule="auto"/>
        <w:jc w:val="center"/>
        <w:rPr>
          <w:b/>
        </w:rPr>
      </w:pPr>
      <w:r w:rsidRPr="00B94B91">
        <w:rPr>
          <w:b/>
        </w:rPr>
        <w:t>NATIONAL ASSOCIATION OF STATE UTILITY CONSUMER ADVOCATES</w:t>
      </w:r>
    </w:p>
    <w:p w:rsidR="004E4064" w:rsidRDefault="004E4064" w:rsidP="00287A11">
      <w:pPr>
        <w:spacing w:line="240" w:lineRule="auto"/>
        <w:jc w:val="center"/>
      </w:pPr>
      <w:r>
        <w:t>Resolution 2014-</w:t>
      </w:r>
      <w:r w:rsidR="00DE5881">
        <w:t>0</w:t>
      </w:r>
      <w:r w:rsidR="00762C07">
        <w:t>3</w:t>
      </w:r>
    </w:p>
    <w:p w:rsidR="00287A11" w:rsidRPr="00B94B91" w:rsidRDefault="00653B5B" w:rsidP="00287A11">
      <w:pPr>
        <w:spacing w:line="240" w:lineRule="auto"/>
        <w:jc w:val="center"/>
        <w:rPr>
          <w:rFonts w:cs="Arial"/>
          <w:b/>
        </w:rPr>
      </w:pPr>
      <w:r>
        <w:rPr>
          <w:b/>
        </w:rPr>
        <w:t>Urging t</w:t>
      </w:r>
      <w:r w:rsidR="00173FD4" w:rsidRPr="00B94B91">
        <w:rPr>
          <w:b/>
        </w:rPr>
        <w:t xml:space="preserve">he </w:t>
      </w:r>
      <w:r w:rsidR="00287A11" w:rsidRPr="00B94B91">
        <w:rPr>
          <w:b/>
        </w:rPr>
        <w:t>Environmental Protection Agency (EPA)</w:t>
      </w:r>
      <w:r>
        <w:rPr>
          <w:b/>
        </w:rPr>
        <w:t xml:space="preserve"> t</w:t>
      </w:r>
      <w:r w:rsidR="004E4064" w:rsidRPr="00B94B91">
        <w:rPr>
          <w:b/>
        </w:rPr>
        <w:t>o</w:t>
      </w:r>
      <w:r w:rsidR="00173FD4" w:rsidRPr="00B94B91">
        <w:rPr>
          <w:b/>
        </w:rPr>
        <w:t xml:space="preserve"> Require</w:t>
      </w:r>
      <w:r w:rsidR="00287A11" w:rsidRPr="00B94B91">
        <w:rPr>
          <w:b/>
        </w:rPr>
        <w:t xml:space="preserve"> State-</w:t>
      </w:r>
      <w:r>
        <w:rPr>
          <w:b/>
        </w:rPr>
        <w:t>Level Authorities Implementing any Final Version of t</w:t>
      </w:r>
      <w:r w:rsidR="00287A11" w:rsidRPr="00B94B91">
        <w:rPr>
          <w:b/>
        </w:rPr>
        <w:t>he “Clean Power Plan”</w:t>
      </w:r>
      <w:r>
        <w:rPr>
          <w:b/>
        </w:rPr>
        <w:t xml:space="preserve"> t</w:t>
      </w:r>
      <w:r w:rsidR="00B94B91">
        <w:rPr>
          <w:b/>
        </w:rPr>
        <w:t xml:space="preserve">o </w:t>
      </w:r>
      <w:r>
        <w:rPr>
          <w:b/>
        </w:rPr>
        <w:t>Seek Input f</w:t>
      </w:r>
      <w:r w:rsidR="00287A11" w:rsidRPr="00B94B91">
        <w:rPr>
          <w:b/>
        </w:rPr>
        <w:t>rom Local</w:t>
      </w:r>
      <w:r w:rsidR="00173FD4" w:rsidRPr="00B94B91">
        <w:rPr>
          <w:b/>
        </w:rPr>
        <w:t xml:space="preserve"> NASUCA Member</w:t>
      </w:r>
      <w:r w:rsidR="00B94B91">
        <w:rPr>
          <w:b/>
        </w:rPr>
        <w:t>s</w:t>
      </w:r>
    </w:p>
    <w:p w:rsidR="00A31126" w:rsidRPr="00287A11" w:rsidRDefault="003F26CA" w:rsidP="00287A11">
      <w:pPr>
        <w:spacing w:line="240" w:lineRule="auto"/>
        <w:rPr>
          <w:rFonts w:cs="Arial"/>
        </w:rPr>
      </w:pPr>
      <w:r w:rsidRPr="00B94B91">
        <w:rPr>
          <w:b/>
        </w:rPr>
        <w:t xml:space="preserve">WHEREAS, </w:t>
      </w:r>
      <w:r>
        <w:t xml:space="preserve">the National Association of State Utility Consumer Advocates (NASUCA) is </w:t>
      </w:r>
      <w:r w:rsidR="00A31126" w:rsidRPr="00287A11">
        <w:rPr>
          <w:rFonts w:cs="Arial"/>
        </w:rPr>
        <w:t>an association of 44 consumer advocates in 40 states and the District of Columbia</w:t>
      </w:r>
      <w:r w:rsidR="00DA345E">
        <w:rPr>
          <w:rFonts w:cs="Arial"/>
        </w:rPr>
        <w:t>, who</w:t>
      </w:r>
      <w:r w:rsidR="00A31126" w:rsidRPr="00287A11">
        <w:rPr>
          <w:rFonts w:cs="Arial"/>
        </w:rPr>
        <w:t xml:space="preserve"> are designated by the laws of their respective jurisdictions to represent the interests of utility consumers before state and federal regulators and in the courts;</w:t>
      </w:r>
    </w:p>
    <w:p w:rsidR="00A31126" w:rsidRDefault="003F26CA" w:rsidP="00A31126">
      <w:pPr>
        <w:spacing w:after="0" w:line="240" w:lineRule="auto"/>
      </w:pPr>
      <w:r w:rsidRPr="00B94B91">
        <w:rPr>
          <w:b/>
        </w:rPr>
        <w:t>WHEREAS,</w:t>
      </w:r>
      <w:r>
        <w:t xml:space="preserve"> on June 26, 2012, Resolution 2012 – 05 was passed by NASUCA “Urging the Environmental Protection Agency to Establish Compliance Timelines that Provide Sufficient Time to Consider Appropriate Least Cost Responses so as to Avoid Rate Shock to Electric Utility Customers</w:t>
      </w:r>
      <w:r w:rsidR="00883EEA">
        <w:t>.</w:t>
      </w:r>
      <w:r>
        <w:t>”</w:t>
      </w:r>
      <w:r w:rsidR="00A31126">
        <w:t xml:space="preserve"> NASUCA urged the </w:t>
      </w:r>
      <w:r w:rsidR="00287A11">
        <w:t>EPA</w:t>
      </w:r>
      <w:r w:rsidR="00A31126">
        <w:t xml:space="preserve"> and other relevant policy makers to implement environmental regulations </w:t>
      </w:r>
      <w:r w:rsidR="00B94B91">
        <w:t>taking into</w:t>
      </w:r>
      <w:r w:rsidR="00287A11">
        <w:t xml:space="preserve"> account the </w:t>
      </w:r>
      <w:r w:rsidR="00A31126">
        <w:t>following considerations:</w:t>
      </w:r>
    </w:p>
    <w:p w:rsidR="00A31126" w:rsidRPr="00A31126" w:rsidRDefault="00A31126" w:rsidP="00A31126">
      <w:pPr>
        <w:numPr>
          <w:ilvl w:val="0"/>
          <w:numId w:val="1"/>
        </w:numPr>
        <w:shd w:val="clear" w:color="auto" w:fill="FFFFFF"/>
        <w:spacing w:before="100" w:beforeAutospacing="1" w:after="100" w:afterAutospacing="1" w:line="240" w:lineRule="auto"/>
        <w:rPr>
          <w:rFonts w:eastAsia="Times New Roman" w:cs="Arial"/>
        </w:rPr>
      </w:pPr>
      <w:r w:rsidRPr="00A31126">
        <w:rPr>
          <w:rFonts w:eastAsia="Times New Roman" w:cs="Arial"/>
        </w:rPr>
        <w:t>Compliance timelines must make reasonable allowance for the physical, financial, and regulatory challenges associated with the engineering, procurement, construction, and regulatory review of new demand-side resources, supply-side resources and/or upgrades at existing electric generation plants;</w:t>
      </w:r>
    </w:p>
    <w:p w:rsidR="00A31126" w:rsidRPr="00A31126" w:rsidRDefault="00A31126" w:rsidP="00A31126">
      <w:pPr>
        <w:numPr>
          <w:ilvl w:val="0"/>
          <w:numId w:val="1"/>
        </w:numPr>
        <w:shd w:val="clear" w:color="auto" w:fill="FFFFFF"/>
        <w:spacing w:before="100" w:beforeAutospacing="1" w:after="100" w:afterAutospacing="1" w:line="240" w:lineRule="auto"/>
        <w:rPr>
          <w:rFonts w:eastAsia="Times New Roman" w:cs="Arial"/>
        </w:rPr>
      </w:pPr>
      <w:r w:rsidRPr="00A31126">
        <w:rPr>
          <w:rFonts w:eastAsia="Times New Roman" w:cs="Arial"/>
        </w:rPr>
        <w:t>Compliance timelines must allow state regulators sufficient time to fully evaluate utility compliance proposals in evidentiary hearings;</w:t>
      </w:r>
    </w:p>
    <w:p w:rsidR="00A31126" w:rsidRPr="00A31126" w:rsidRDefault="00A31126" w:rsidP="00A31126">
      <w:pPr>
        <w:numPr>
          <w:ilvl w:val="0"/>
          <w:numId w:val="1"/>
        </w:numPr>
        <w:shd w:val="clear" w:color="auto" w:fill="FFFFFF"/>
        <w:spacing w:before="100" w:beforeAutospacing="1" w:after="100" w:afterAutospacing="1" w:line="240" w:lineRule="auto"/>
        <w:rPr>
          <w:rFonts w:eastAsia="Times New Roman" w:cs="Arial"/>
        </w:rPr>
      </w:pPr>
      <w:r w:rsidRPr="00A31126">
        <w:rPr>
          <w:rFonts w:eastAsia="Times New Roman" w:cs="Arial"/>
        </w:rPr>
        <w:t>Compliance timelines must provide sufficient time and flexibility to maintain the integrity and reliability of the existing electric system;</w:t>
      </w:r>
    </w:p>
    <w:p w:rsidR="00A31126" w:rsidRPr="00A31126" w:rsidRDefault="00A31126" w:rsidP="00A31126">
      <w:pPr>
        <w:numPr>
          <w:ilvl w:val="0"/>
          <w:numId w:val="1"/>
        </w:numPr>
        <w:shd w:val="clear" w:color="auto" w:fill="FFFFFF"/>
        <w:spacing w:before="100" w:beforeAutospacing="1" w:after="100" w:afterAutospacing="1" w:line="240" w:lineRule="auto"/>
        <w:rPr>
          <w:rFonts w:eastAsia="Times New Roman" w:cs="Arial"/>
        </w:rPr>
      </w:pPr>
      <w:r w:rsidRPr="00A31126">
        <w:rPr>
          <w:rFonts w:eastAsia="Times New Roman" w:cs="Arial"/>
        </w:rPr>
        <w:t>Compliance timelines must take into account the impact of rate increases that can result as utiliti</w:t>
      </w:r>
      <w:r>
        <w:rPr>
          <w:rFonts w:eastAsia="Times New Roman" w:cs="Arial"/>
        </w:rPr>
        <w:t>es seek recovery from customers;</w:t>
      </w:r>
    </w:p>
    <w:p w:rsidR="00C02D3D" w:rsidRDefault="004E4064" w:rsidP="00A31126">
      <w:pPr>
        <w:spacing w:line="240" w:lineRule="auto"/>
      </w:pPr>
      <w:r w:rsidRPr="00B94B91">
        <w:rPr>
          <w:b/>
        </w:rPr>
        <w:t>WHEREAS,</w:t>
      </w:r>
      <w:r>
        <w:t xml:space="preserve"> </w:t>
      </w:r>
      <w:r w:rsidR="00E97776">
        <w:t>o</w:t>
      </w:r>
      <w:r w:rsidR="00A31126">
        <w:t xml:space="preserve">n June 2, 2014, </w:t>
      </w:r>
      <w:r w:rsidR="00E97776">
        <w:t xml:space="preserve">pursuant to Section 111(d) of the Clean Air Act, the </w:t>
      </w:r>
      <w:r w:rsidR="00A31126">
        <w:t>EPA released its proposed emissions performance guidelines for reducing CO</w:t>
      </w:r>
      <w:r w:rsidR="00A31126">
        <w:rPr>
          <w:vertAlign w:val="subscript"/>
        </w:rPr>
        <w:t>2</w:t>
      </w:r>
      <w:r w:rsidR="00A31126">
        <w:t xml:space="preserve"> from existing fossil fuel power plants. </w:t>
      </w:r>
      <w:r w:rsidR="00E97776">
        <w:t>The</w:t>
      </w:r>
      <w:r w:rsidR="00A31126">
        <w:t xml:space="preserve"> EPA has stated that its 111(d) rule—known as the “Clean Power Plan”— will reduce </w:t>
      </w:r>
      <w:r w:rsidR="00E97776">
        <w:t xml:space="preserve">greenhouse gas </w:t>
      </w:r>
      <w:r w:rsidR="00A31126">
        <w:t>emissions from these existing sources by 30 percent below 2005 levels by 2030.</w:t>
      </w:r>
      <w:r w:rsidR="00E97776">
        <w:t xml:space="preserve"> A</w:t>
      </w:r>
      <w:r w:rsidR="003F26CA">
        <w:t>ccording to the EPA, meeting the emission reductions proposed in the</w:t>
      </w:r>
      <w:r w:rsidR="00DC7FA9">
        <w:t xml:space="preserve"> </w:t>
      </w:r>
      <w:r w:rsidR="003F26CA">
        <w:t>Clean Power Plan will require electric utilities and electric generators</w:t>
      </w:r>
      <w:r w:rsidR="00F301E5">
        <w:t xml:space="preserve"> to</w:t>
      </w:r>
      <w:r w:rsidR="00E97776">
        <w:t xml:space="preserve">, in some mixture, </w:t>
      </w:r>
      <w:r w:rsidR="00DC7FA9">
        <w:t>increase generation efficiency, change generation fuel mix</w:t>
      </w:r>
      <w:r w:rsidR="00E97776">
        <w:t>,</w:t>
      </w:r>
      <w:r w:rsidR="00DC7FA9">
        <w:t xml:space="preserve"> which may include building </w:t>
      </w:r>
      <w:r w:rsidR="00E97776">
        <w:t>new natural gas fired generators</w:t>
      </w:r>
      <w:r w:rsidR="00DC7FA9">
        <w:t xml:space="preserve"> and</w:t>
      </w:r>
      <w:r w:rsidR="00E97776">
        <w:t>/or</w:t>
      </w:r>
      <w:r w:rsidR="00DC7FA9">
        <w:t xml:space="preserve"> closing existing coal fired </w:t>
      </w:r>
      <w:r w:rsidR="00E97776">
        <w:t>generators</w:t>
      </w:r>
      <w:r w:rsidR="00DC7FA9">
        <w:t xml:space="preserve">, </w:t>
      </w:r>
      <w:r w:rsidR="00E97776">
        <w:t>increase</w:t>
      </w:r>
      <w:r w:rsidR="00DC7FA9">
        <w:t xml:space="preserve"> the use of renewable energy generating sources</w:t>
      </w:r>
      <w:r w:rsidR="00F301E5">
        <w:t xml:space="preserve"> and</w:t>
      </w:r>
      <w:r w:rsidR="00E97776">
        <w:t xml:space="preserve"> increase the use and availability of energy efficiency and/or conservation measures.</w:t>
      </w:r>
    </w:p>
    <w:p w:rsidR="00883EEA" w:rsidRPr="00883EEA" w:rsidRDefault="00F301E5" w:rsidP="00883EEA">
      <w:pPr>
        <w:spacing w:line="240" w:lineRule="auto"/>
      </w:pPr>
      <w:proofErr w:type="gramStart"/>
      <w:r w:rsidRPr="00B94B91">
        <w:rPr>
          <w:b/>
        </w:rPr>
        <w:t>WHEREAS,</w:t>
      </w:r>
      <w:r>
        <w:t xml:space="preserve"> state-level implementation of</w:t>
      </w:r>
      <w:r w:rsidR="00173FD4">
        <w:t xml:space="preserve"> any final version of</w:t>
      </w:r>
      <w:r>
        <w:t xml:space="preserve"> the proposed Clean Power Plan will generally reside at a state-level environmental a</w:t>
      </w:r>
      <w:r w:rsidR="00C02D3D">
        <w:t>gency.</w:t>
      </w:r>
      <w:proofErr w:type="gramEnd"/>
      <w:r w:rsidR="00C02D3D">
        <w:t xml:space="preserve"> In most cases, the state-</w:t>
      </w:r>
      <w:r>
        <w:t>level environmental agency in charge of implementing the Clean Power Plan will have different objectives</w:t>
      </w:r>
      <w:r w:rsidR="00883EEA">
        <w:t>,</w:t>
      </w:r>
      <w:r>
        <w:t xml:space="preserve"> obligations</w:t>
      </w:r>
      <w:r w:rsidR="00883EEA">
        <w:t xml:space="preserve"> and expertise</w:t>
      </w:r>
      <w:r>
        <w:t xml:space="preserve"> than the </w:t>
      </w:r>
      <w:r w:rsidR="00C02D3D">
        <w:t>state-level</w:t>
      </w:r>
      <w:r w:rsidR="00C02D3D" w:rsidRPr="00C02D3D">
        <w:t xml:space="preserve"> </w:t>
      </w:r>
      <w:r w:rsidR="00C02D3D">
        <w:t xml:space="preserve">agency </w:t>
      </w:r>
      <w:r w:rsidR="00F2450B">
        <w:t>that regulates</w:t>
      </w:r>
      <w:r w:rsidR="00C02D3D">
        <w:t xml:space="preserve"> electric utility resource planning and rates</w:t>
      </w:r>
      <w:r w:rsidR="00F2450B">
        <w:t xml:space="preserve"> (i.e., Public Utilities Commission)</w:t>
      </w:r>
      <w:r w:rsidR="00883EEA">
        <w:t xml:space="preserve">, and whereas such state-level environmental agencies are not primarily focused on identifying and promoting lowest reasonable cost solutions to ratepayers, </w:t>
      </w:r>
    </w:p>
    <w:p w:rsidR="003F26CA" w:rsidRDefault="00C02D3D" w:rsidP="00A31126">
      <w:pPr>
        <w:spacing w:line="240" w:lineRule="auto"/>
      </w:pPr>
      <w:r w:rsidRPr="00B94B91">
        <w:rPr>
          <w:b/>
        </w:rPr>
        <w:t>WHEREAS,</w:t>
      </w:r>
      <w:r>
        <w:t xml:space="preserve"> the number of NASUCA member offices that have clear jurisdiction to participate before a state-level environmental agency is less than the number of NASUCA members that have jurisdiction to participate before the</w:t>
      </w:r>
      <w:r w:rsidR="00F2450B">
        <w:t xml:space="preserve"> state-level</w:t>
      </w:r>
      <w:r w:rsidRPr="00C02D3D">
        <w:t xml:space="preserve"> </w:t>
      </w:r>
      <w:r>
        <w:t xml:space="preserve">agency </w:t>
      </w:r>
      <w:r w:rsidR="00F2450B">
        <w:t>that regulates electric utility resource planning and rates</w:t>
      </w:r>
      <w:r>
        <w:t xml:space="preserve">. </w:t>
      </w:r>
      <w:r w:rsidR="00F2450B">
        <w:t xml:space="preserve"> </w:t>
      </w:r>
      <w:r>
        <w:t xml:space="preserve">As </w:t>
      </w:r>
      <w:r>
        <w:lastRenderedPageBreak/>
        <w:t>such, many NASUCA member offices, and the ut</w:t>
      </w:r>
      <w:r w:rsidR="00F2450B">
        <w:t>ility customers they represent</w:t>
      </w:r>
      <w:r w:rsidR="00173FD4">
        <w:t>,</w:t>
      </w:r>
      <w:r w:rsidR="00F2450B">
        <w:t xml:space="preserve"> may </w:t>
      </w:r>
      <w:r>
        <w:t xml:space="preserve">be </w:t>
      </w:r>
      <w:r w:rsidR="00F2450B">
        <w:t xml:space="preserve">specifically </w:t>
      </w:r>
      <w:r>
        <w:t xml:space="preserve">excluded from </w:t>
      </w:r>
      <w:r w:rsidR="00F2450B">
        <w:t xml:space="preserve">participating in important decisions affecting changes to </w:t>
      </w:r>
      <w:r w:rsidR="00173FD4">
        <w:t xml:space="preserve">electric utility resource planning, the </w:t>
      </w:r>
      <w:r w:rsidR="00F2450B">
        <w:t>resource</w:t>
      </w:r>
      <w:r w:rsidR="00173FD4">
        <w:t>s</w:t>
      </w:r>
      <w:r w:rsidR="00F2450B">
        <w:t xml:space="preserve"> use</w:t>
      </w:r>
      <w:r w:rsidR="00173FD4">
        <w:t>d to meet customer energy needs, the</w:t>
      </w:r>
      <w:r w:rsidR="00287A11">
        <w:t xml:space="preserve"> cost of these resources </w:t>
      </w:r>
      <w:r w:rsidR="00173FD4">
        <w:t xml:space="preserve">and </w:t>
      </w:r>
      <w:r w:rsidR="00287A11">
        <w:t>impacts on</w:t>
      </w:r>
      <w:r w:rsidR="00173FD4">
        <w:t xml:space="preserve"> customer rates that result from these resources changes. </w:t>
      </w:r>
      <w:r w:rsidR="00F2450B">
        <w:t xml:space="preserve"> </w:t>
      </w:r>
    </w:p>
    <w:p w:rsidR="003F26CA" w:rsidRPr="00B94B91" w:rsidRDefault="003F26CA" w:rsidP="00A31126">
      <w:pPr>
        <w:spacing w:line="240" w:lineRule="auto"/>
        <w:rPr>
          <w:b/>
          <w:i/>
        </w:rPr>
      </w:pPr>
      <w:r w:rsidRPr="00B94B91">
        <w:rPr>
          <w:b/>
          <w:i/>
        </w:rPr>
        <w:t>NOW THEREFORE NASUCA RESOLVES</w:t>
      </w:r>
    </w:p>
    <w:p w:rsidR="003F26CA" w:rsidRDefault="003F26CA" w:rsidP="00A31126">
      <w:pPr>
        <w:spacing w:line="240" w:lineRule="auto"/>
      </w:pPr>
      <w:r>
        <w:t xml:space="preserve">Without specifically taking a position on the merits, mechanics or requirements of the proposed EPA Clean Power Plan, NASUCA urges </w:t>
      </w:r>
      <w:r w:rsidR="00AC2CB8">
        <w:t xml:space="preserve">the </w:t>
      </w:r>
      <w:r>
        <w:t>EPA and other relevant policy makers to:</w:t>
      </w:r>
    </w:p>
    <w:p w:rsidR="00B94B91" w:rsidRDefault="004371FD" w:rsidP="004371FD">
      <w:pPr>
        <w:spacing w:line="240" w:lineRule="auto"/>
        <w:ind w:left="720"/>
      </w:pPr>
      <w:r>
        <w:t xml:space="preserve">1.  </w:t>
      </w:r>
      <w:r w:rsidR="00B94B91">
        <w:t>E</w:t>
      </w:r>
      <w:r w:rsidR="003F26CA">
        <w:t xml:space="preserve">nsure that </w:t>
      </w:r>
      <w:r w:rsidR="00B94B91">
        <w:t xml:space="preserve">NASUCA members, and the utility customers they represent, are included in the </w:t>
      </w:r>
      <w:r w:rsidR="000F2452">
        <w:t xml:space="preserve">state-level </w:t>
      </w:r>
      <w:r w:rsidR="00B94B91">
        <w:t>implementation process, and resource decisions required thereby, envisioned in any final version of the Clean Power Plan, including</w:t>
      </w:r>
      <w:r>
        <w:t xml:space="preserve"> a</w:t>
      </w:r>
      <w:r w:rsidR="00B94B91">
        <w:t xml:space="preserve">t minimum, </w:t>
      </w:r>
      <w:r>
        <w:t xml:space="preserve">that </w:t>
      </w:r>
      <w:r w:rsidR="00B94B91">
        <w:t>the EPA should require any state-level environmental agency charged with implementation of any final version</w:t>
      </w:r>
      <w:r w:rsidR="000F2452">
        <w:t xml:space="preserve"> of the Clean Power Plan </w:t>
      </w:r>
      <w:r>
        <w:t xml:space="preserve">to </w:t>
      </w:r>
      <w:r w:rsidR="000F2452">
        <w:t>seek input from the state NASUCA member</w:t>
      </w:r>
      <w:r w:rsidR="00F71F4C">
        <w:t xml:space="preserve"> concerning the components of a state-level compliance plan prior to finalizing its terms</w:t>
      </w:r>
      <w:r w:rsidR="000F2452">
        <w:t>.</w:t>
      </w:r>
      <w:r w:rsidR="00B94B91">
        <w:t xml:space="preserve"> </w:t>
      </w:r>
    </w:p>
    <w:p w:rsidR="00B94B91" w:rsidRDefault="00DA345E" w:rsidP="004371FD">
      <w:pPr>
        <w:spacing w:line="240" w:lineRule="auto"/>
        <w:ind w:left="720"/>
      </w:pPr>
      <w:r>
        <w:t>2.  Conform a</w:t>
      </w:r>
      <w:r w:rsidR="00B94B91">
        <w:t xml:space="preserve">ny final version of the Clean Power Plan </w:t>
      </w:r>
      <w:r w:rsidR="000F2452">
        <w:t>to t</w:t>
      </w:r>
      <w:r w:rsidR="00B94B91">
        <w:t>he considerations listed in NASUCA Resolution 2012-05.</w:t>
      </w:r>
    </w:p>
    <w:p w:rsidR="00B94B91" w:rsidRPr="00B94B91" w:rsidRDefault="00B94B91" w:rsidP="00B94B91">
      <w:pPr>
        <w:spacing w:line="240" w:lineRule="auto"/>
      </w:pPr>
      <w:r w:rsidRPr="00B94B91">
        <w:rPr>
          <w:rFonts w:cs="Arial"/>
          <w:b/>
          <w:bCs/>
          <w:i/>
          <w:iCs/>
        </w:rPr>
        <w:t>BE IT FURTHER RESOLVED</w:t>
      </w:r>
      <w:r w:rsidRPr="00B94B91">
        <w:rPr>
          <w:rFonts w:cs="Arial"/>
        </w:rPr>
        <w:t xml:space="preserve"> that NASUCA authorizes its Executive Committee to develop specific positions and to take appropriate actions consistent with the terms of this resolution. The Executive Committee shall advise the membership of any proposed action prior to taking such action, if possible.  In any event, the Executive Committee shall notify its membership of any action taken pursuant to this resolution.</w:t>
      </w:r>
    </w:p>
    <w:p w:rsidR="00DC7FA9" w:rsidRDefault="00DC7FA9" w:rsidP="00A31126">
      <w:pPr>
        <w:spacing w:line="240" w:lineRule="auto"/>
      </w:pPr>
    </w:p>
    <w:p w:rsidR="00DE5881" w:rsidRDefault="00B94B91" w:rsidP="000F2452">
      <w:pPr>
        <w:shd w:val="clear" w:color="auto" w:fill="FFFFFF"/>
        <w:spacing w:after="0" w:line="240" w:lineRule="auto"/>
        <w:rPr>
          <w:rFonts w:eastAsia="Times New Roman" w:cs="Arial"/>
        </w:rPr>
      </w:pPr>
      <w:r w:rsidRPr="00B94B91">
        <w:rPr>
          <w:rFonts w:eastAsia="Times New Roman" w:cs="Arial"/>
        </w:rPr>
        <w:t xml:space="preserve">Approved by NASUCA: </w:t>
      </w:r>
      <w:r>
        <w:rPr>
          <w:rFonts w:eastAsia="Times New Roman" w:cs="Arial"/>
        </w:rPr>
        <w:tab/>
      </w:r>
      <w:r w:rsidR="00DE5881">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p w:rsidR="00B94B91" w:rsidRPr="00B94B91" w:rsidRDefault="00B94B91" w:rsidP="00DE5881">
      <w:pPr>
        <w:shd w:val="clear" w:color="auto" w:fill="FFFFFF"/>
        <w:spacing w:after="0" w:line="240" w:lineRule="auto"/>
        <w:ind w:left="5760" w:firstLine="720"/>
        <w:rPr>
          <w:rFonts w:eastAsia="Times New Roman" w:cs="Arial"/>
        </w:rPr>
      </w:pPr>
      <w:r w:rsidRPr="00B94B91">
        <w:rPr>
          <w:rFonts w:eastAsia="Times New Roman" w:cs="Arial"/>
        </w:rPr>
        <w:t>Submitted by:</w:t>
      </w:r>
    </w:p>
    <w:p w:rsidR="00B94B91" w:rsidRPr="00B94B91" w:rsidRDefault="00B94B91" w:rsidP="000F2452">
      <w:pPr>
        <w:shd w:val="clear" w:color="auto" w:fill="FFFFFF"/>
        <w:spacing w:after="0" w:line="240" w:lineRule="auto"/>
        <w:rPr>
          <w:rFonts w:eastAsia="Times New Roman" w:cs="Arial"/>
        </w:rPr>
      </w:pPr>
      <w:r w:rsidRPr="00B94B91">
        <w:rPr>
          <w:rFonts w:eastAsia="Times New Roman" w:cs="Arial"/>
        </w:rPr>
        <w:t xml:space="preserve">Place: </w:t>
      </w:r>
      <w:r w:rsidR="000F2452">
        <w:rPr>
          <w:rFonts w:eastAsia="Times New Roman" w:cs="Arial"/>
        </w:rPr>
        <w:tab/>
      </w:r>
      <w:r w:rsidR="00DE5881">
        <w:rPr>
          <w:rFonts w:eastAsia="Times New Roman" w:cs="Arial"/>
        </w:rPr>
        <w:t>San Francisco, CA</w:t>
      </w:r>
      <w:r w:rsidR="00DE5881">
        <w:rPr>
          <w:rFonts w:eastAsia="Times New Roman" w:cs="Arial"/>
        </w:rPr>
        <w:tab/>
      </w:r>
      <w:r w:rsidR="00DE5881">
        <w:rPr>
          <w:rFonts w:eastAsia="Times New Roman" w:cs="Arial"/>
        </w:rPr>
        <w:tab/>
      </w:r>
      <w:r w:rsidR="00DE5881">
        <w:rPr>
          <w:rFonts w:eastAsia="Times New Roman" w:cs="Arial"/>
        </w:rPr>
        <w:tab/>
      </w:r>
      <w:r w:rsidR="00DE5881">
        <w:rPr>
          <w:rFonts w:eastAsia="Times New Roman" w:cs="Arial"/>
        </w:rPr>
        <w:tab/>
      </w:r>
      <w:r w:rsidR="00DE5881">
        <w:rPr>
          <w:rFonts w:eastAsia="Times New Roman" w:cs="Arial"/>
        </w:rPr>
        <w:tab/>
      </w:r>
      <w:r w:rsidR="00DE5881">
        <w:rPr>
          <w:rFonts w:eastAsia="Times New Roman" w:cs="Arial"/>
        </w:rPr>
        <w:tab/>
      </w:r>
      <w:r w:rsidRPr="00B94B91">
        <w:rPr>
          <w:rFonts w:eastAsia="Times New Roman" w:cs="Arial"/>
        </w:rPr>
        <w:t>NASUCA Electric Committee</w:t>
      </w:r>
    </w:p>
    <w:p w:rsidR="00B94B91" w:rsidRPr="00B94B91" w:rsidRDefault="00B94B91" w:rsidP="000F2452">
      <w:pPr>
        <w:shd w:val="clear" w:color="auto" w:fill="FFFFFF"/>
        <w:spacing w:after="0" w:line="240" w:lineRule="auto"/>
        <w:rPr>
          <w:rFonts w:eastAsia="Times New Roman" w:cs="Arial"/>
        </w:rPr>
      </w:pPr>
      <w:r w:rsidRPr="00B94B91">
        <w:rPr>
          <w:rFonts w:eastAsia="Times New Roman" w:cs="Arial"/>
        </w:rPr>
        <w:t xml:space="preserve">Date: </w:t>
      </w:r>
      <w:r w:rsidR="00DE5881">
        <w:rPr>
          <w:rFonts w:eastAsia="Times New Roman" w:cs="Arial"/>
        </w:rPr>
        <w:t>November 18, 2014</w:t>
      </w:r>
    </w:p>
    <w:p w:rsidR="00B94B91" w:rsidRPr="00B94B91" w:rsidRDefault="00762C07" w:rsidP="00B94B91">
      <w:pPr>
        <w:shd w:val="clear" w:color="auto" w:fill="FFFFFF"/>
        <w:spacing w:after="300" w:line="300" w:lineRule="atLeast"/>
        <w:rPr>
          <w:rFonts w:eastAsia="Times New Roman" w:cs="Arial"/>
        </w:rPr>
      </w:pPr>
      <w:r>
        <w:rPr>
          <w:rFonts w:eastAsia="Times New Roman" w:cs="Arial"/>
        </w:rPr>
        <w:br/>
      </w:r>
      <w:bookmarkStart w:id="0" w:name="_GoBack"/>
      <w:bookmarkEnd w:id="0"/>
      <w:r w:rsidR="00B94B91" w:rsidRPr="00B94B91">
        <w:rPr>
          <w:rFonts w:eastAsia="Times New Roman" w:cs="Arial"/>
        </w:rPr>
        <w:t xml:space="preserve">Abstained Votes: </w:t>
      </w:r>
      <w:r>
        <w:rPr>
          <w:rFonts w:eastAsia="Times New Roman" w:cs="Arial"/>
        </w:rPr>
        <w:t>Michigan</w:t>
      </w:r>
      <w:r w:rsidR="00B94B91" w:rsidRPr="00B94B91">
        <w:rPr>
          <w:rFonts w:eastAsia="Times New Roman" w:cs="Arial"/>
        </w:rPr>
        <w:br/>
      </w:r>
    </w:p>
    <w:p w:rsidR="00DC7FA9" w:rsidRDefault="00DC7FA9" w:rsidP="00A31126">
      <w:pPr>
        <w:spacing w:line="240" w:lineRule="auto"/>
      </w:pPr>
    </w:p>
    <w:sectPr w:rsidR="00DC7FA9" w:rsidSect="00FD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1F36"/>
    <w:multiLevelType w:val="hybridMultilevel"/>
    <w:tmpl w:val="F59C151E"/>
    <w:lvl w:ilvl="0" w:tplc="72325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304A28"/>
    <w:multiLevelType w:val="multilevel"/>
    <w:tmpl w:val="4AE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36325"/>
    <w:multiLevelType w:val="hybridMultilevel"/>
    <w:tmpl w:val="4E04749E"/>
    <w:lvl w:ilvl="0" w:tplc="381AB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64"/>
    <w:rsid w:val="000F2452"/>
    <w:rsid w:val="00173FD4"/>
    <w:rsid w:val="00287A11"/>
    <w:rsid w:val="00347737"/>
    <w:rsid w:val="003F26CA"/>
    <w:rsid w:val="004371FD"/>
    <w:rsid w:val="004E389F"/>
    <w:rsid w:val="004E4064"/>
    <w:rsid w:val="00522F5A"/>
    <w:rsid w:val="00653B5B"/>
    <w:rsid w:val="007607EA"/>
    <w:rsid w:val="00762C07"/>
    <w:rsid w:val="00786838"/>
    <w:rsid w:val="00796B09"/>
    <w:rsid w:val="00883EEA"/>
    <w:rsid w:val="00953859"/>
    <w:rsid w:val="00982523"/>
    <w:rsid w:val="00A31126"/>
    <w:rsid w:val="00AC2CB8"/>
    <w:rsid w:val="00B633CF"/>
    <w:rsid w:val="00B94B91"/>
    <w:rsid w:val="00BF605E"/>
    <w:rsid w:val="00C02D3D"/>
    <w:rsid w:val="00DA345E"/>
    <w:rsid w:val="00DC7FA9"/>
    <w:rsid w:val="00DE5881"/>
    <w:rsid w:val="00E97776"/>
    <w:rsid w:val="00F2450B"/>
    <w:rsid w:val="00F301E5"/>
    <w:rsid w:val="00F71F4C"/>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D4"/>
    <w:pPr>
      <w:ind w:left="720"/>
      <w:contextualSpacing/>
    </w:pPr>
  </w:style>
  <w:style w:type="paragraph" w:styleId="BalloonText">
    <w:name w:val="Balloon Text"/>
    <w:basedOn w:val="Normal"/>
    <w:link w:val="BalloonTextChar"/>
    <w:uiPriority w:val="99"/>
    <w:semiHidden/>
    <w:unhideWhenUsed/>
    <w:rsid w:val="00DA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D4"/>
    <w:pPr>
      <w:ind w:left="720"/>
      <w:contextualSpacing/>
    </w:pPr>
  </w:style>
  <w:style w:type="paragraph" w:styleId="BalloonText">
    <w:name w:val="Balloon Text"/>
    <w:basedOn w:val="Normal"/>
    <w:link w:val="BalloonTextChar"/>
    <w:uiPriority w:val="99"/>
    <w:semiHidden/>
    <w:unhideWhenUsed/>
    <w:rsid w:val="00DA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5065">
      <w:bodyDiv w:val="1"/>
      <w:marLeft w:val="0"/>
      <w:marRight w:val="0"/>
      <w:marTop w:val="0"/>
      <w:marBottom w:val="0"/>
      <w:divBdr>
        <w:top w:val="none" w:sz="0" w:space="0" w:color="auto"/>
        <w:left w:val="none" w:sz="0" w:space="0" w:color="auto"/>
        <w:bottom w:val="none" w:sz="0" w:space="0" w:color="auto"/>
        <w:right w:val="none" w:sz="0" w:space="0" w:color="auto"/>
      </w:divBdr>
      <w:divsChild>
        <w:div w:id="1994722178">
          <w:marLeft w:val="0"/>
          <w:marRight w:val="0"/>
          <w:marTop w:val="0"/>
          <w:marBottom w:val="0"/>
          <w:divBdr>
            <w:top w:val="none" w:sz="0" w:space="0" w:color="auto"/>
            <w:left w:val="none" w:sz="0" w:space="0" w:color="auto"/>
            <w:bottom w:val="none" w:sz="0" w:space="0" w:color="auto"/>
            <w:right w:val="none" w:sz="0" w:space="0" w:color="auto"/>
          </w:divBdr>
          <w:divsChild>
            <w:div w:id="2076930279">
              <w:marLeft w:val="0"/>
              <w:marRight w:val="0"/>
              <w:marTop w:val="0"/>
              <w:marBottom w:val="0"/>
              <w:divBdr>
                <w:top w:val="none" w:sz="0" w:space="0" w:color="auto"/>
                <w:left w:val="none" w:sz="0" w:space="0" w:color="auto"/>
                <w:bottom w:val="none" w:sz="0" w:space="0" w:color="auto"/>
                <w:right w:val="none" w:sz="0" w:space="0" w:color="auto"/>
              </w:divBdr>
              <w:divsChild>
                <w:div w:id="1534003410">
                  <w:marLeft w:val="0"/>
                  <w:marRight w:val="0"/>
                  <w:marTop w:val="0"/>
                  <w:marBottom w:val="0"/>
                  <w:divBdr>
                    <w:top w:val="none" w:sz="0" w:space="0" w:color="auto"/>
                    <w:left w:val="none" w:sz="0" w:space="0" w:color="auto"/>
                    <w:bottom w:val="none" w:sz="0" w:space="0" w:color="auto"/>
                    <w:right w:val="none" w:sz="0" w:space="0" w:color="auto"/>
                  </w:divBdr>
                  <w:divsChild>
                    <w:div w:id="675425439">
                      <w:marLeft w:val="0"/>
                      <w:marRight w:val="0"/>
                      <w:marTop w:val="0"/>
                      <w:marBottom w:val="0"/>
                      <w:divBdr>
                        <w:top w:val="none" w:sz="0" w:space="0" w:color="auto"/>
                        <w:left w:val="none" w:sz="0" w:space="0" w:color="auto"/>
                        <w:bottom w:val="none" w:sz="0" w:space="0" w:color="auto"/>
                        <w:right w:val="none" w:sz="0" w:space="0" w:color="auto"/>
                      </w:divBdr>
                      <w:divsChild>
                        <w:div w:id="1182664692">
                          <w:marLeft w:val="0"/>
                          <w:marRight w:val="0"/>
                          <w:marTop w:val="0"/>
                          <w:marBottom w:val="0"/>
                          <w:divBdr>
                            <w:top w:val="none" w:sz="0" w:space="0" w:color="auto"/>
                            <w:left w:val="none" w:sz="0" w:space="0" w:color="auto"/>
                            <w:bottom w:val="none" w:sz="0" w:space="0" w:color="auto"/>
                            <w:right w:val="none" w:sz="0" w:space="0" w:color="auto"/>
                          </w:divBdr>
                          <w:divsChild>
                            <w:div w:id="20550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19431">
      <w:bodyDiv w:val="1"/>
      <w:marLeft w:val="0"/>
      <w:marRight w:val="0"/>
      <w:marTop w:val="0"/>
      <w:marBottom w:val="0"/>
      <w:divBdr>
        <w:top w:val="none" w:sz="0" w:space="0" w:color="auto"/>
        <w:left w:val="none" w:sz="0" w:space="0" w:color="auto"/>
        <w:bottom w:val="none" w:sz="0" w:space="0" w:color="auto"/>
        <w:right w:val="none" w:sz="0" w:space="0" w:color="auto"/>
      </w:divBdr>
      <w:divsChild>
        <w:div w:id="1921060113">
          <w:marLeft w:val="0"/>
          <w:marRight w:val="0"/>
          <w:marTop w:val="0"/>
          <w:marBottom w:val="0"/>
          <w:divBdr>
            <w:top w:val="none" w:sz="0" w:space="0" w:color="auto"/>
            <w:left w:val="none" w:sz="0" w:space="0" w:color="auto"/>
            <w:bottom w:val="none" w:sz="0" w:space="0" w:color="auto"/>
            <w:right w:val="none" w:sz="0" w:space="0" w:color="auto"/>
          </w:divBdr>
          <w:divsChild>
            <w:div w:id="1967419666">
              <w:marLeft w:val="0"/>
              <w:marRight w:val="0"/>
              <w:marTop w:val="0"/>
              <w:marBottom w:val="0"/>
              <w:divBdr>
                <w:top w:val="none" w:sz="0" w:space="0" w:color="auto"/>
                <w:left w:val="none" w:sz="0" w:space="0" w:color="auto"/>
                <w:bottom w:val="none" w:sz="0" w:space="0" w:color="auto"/>
                <w:right w:val="none" w:sz="0" w:space="0" w:color="auto"/>
              </w:divBdr>
              <w:divsChild>
                <w:div w:id="1204949183">
                  <w:marLeft w:val="0"/>
                  <w:marRight w:val="0"/>
                  <w:marTop w:val="0"/>
                  <w:marBottom w:val="0"/>
                  <w:divBdr>
                    <w:top w:val="none" w:sz="0" w:space="0" w:color="auto"/>
                    <w:left w:val="none" w:sz="0" w:space="0" w:color="auto"/>
                    <w:bottom w:val="none" w:sz="0" w:space="0" w:color="auto"/>
                    <w:right w:val="none" w:sz="0" w:space="0" w:color="auto"/>
                  </w:divBdr>
                  <w:divsChild>
                    <w:div w:id="967585010">
                      <w:marLeft w:val="0"/>
                      <w:marRight w:val="0"/>
                      <w:marTop w:val="0"/>
                      <w:marBottom w:val="0"/>
                      <w:divBdr>
                        <w:top w:val="none" w:sz="0" w:space="0" w:color="auto"/>
                        <w:left w:val="none" w:sz="0" w:space="0" w:color="auto"/>
                        <w:bottom w:val="none" w:sz="0" w:space="0" w:color="auto"/>
                        <w:right w:val="none" w:sz="0" w:space="0" w:color="auto"/>
                      </w:divBdr>
                      <w:divsChild>
                        <w:div w:id="1769543713">
                          <w:marLeft w:val="0"/>
                          <w:marRight w:val="0"/>
                          <w:marTop w:val="0"/>
                          <w:marBottom w:val="0"/>
                          <w:divBdr>
                            <w:top w:val="none" w:sz="0" w:space="0" w:color="auto"/>
                            <w:left w:val="none" w:sz="0" w:space="0" w:color="auto"/>
                            <w:bottom w:val="none" w:sz="0" w:space="0" w:color="auto"/>
                            <w:right w:val="none" w:sz="0" w:space="0" w:color="auto"/>
                          </w:divBdr>
                          <w:divsChild>
                            <w:div w:id="941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Kansas Corporation Commission</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dspringe</dc:creator>
  <cp:lastModifiedBy>Nicole</cp:lastModifiedBy>
  <cp:revision>2</cp:revision>
  <dcterms:created xsi:type="dcterms:W3CDTF">2014-12-08T16:57:00Z</dcterms:created>
  <dcterms:modified xsi:type="dcterms:W3CDTF">2014-12-08T16:57:00Z</dcterms:modified>
</cp:coreProperties>
</file>