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88" w:rsidRDefault="00484A88" w:rsidP="00484A88">
      <w:pPr>
        <w:rPr>
          <w:rFonts w:ascii="Arial" w:hAnsi="Arial" w:cs="Arial"/>
          <w:b/>
          <w:bCs/>
          <w:sz w:val="24"/>
          <w:szCs w:val="24"/>
        </w:rPr>
      </w:pPr>
      <w:r>
        <w:rPr>
          <w:rFonts w:ascii="Arial" w:hAnsi="Arial" w:cs="Arial"/>
          <w:b/>
          <w:bCs/>
          <w:noProof/>
          <w:sz w:val="24"/>
          <w:szCs w:val="24"/>
        </w:rPr>
        <w:drawing>
          <wp:inline distT="0" distB="0" distL="0" distR="0">
            <wp:extent cx="2411730" cy="1205865"/>
            <wp:effectExtent l="19050" t="0" r="7620" b="0"/>
            <wp:docPr id="3" name="Picture 2" descr="NASUCA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CA Logo For Email.JPG"/>
                    <pic:cNvPicPr/>
                  </pic:nvPicPr>
                  <pic:blipFill>
                    <a:blip r:embed="rId5" cstate="print"/>
                    <a:stretch>
                      <a:fillRect/>
                    </a:stretch>
                  </pic:blipFill>
                  <pic:spPr>
                    <a:xfrm>
                      <a:off x="0" y="0"/>
                      <a:ext cx="2411730" cy="1205865"/>
                    </a:xfrm>
                    <a:prstGeom prst="rect">
                      <a:avLst/>
                    </a:prstGeom>
                  </pic:spPr>
                </pic:pic>
              </a:graphicData>
            </a:graphic>
          </wp:inline>
        </w:drawing>
      </w:r>
    </w:p>
    <w:p w:rsidR="00484A88" w:rsidRDefault="00484A88" w:rsidP="00484A88">
      <w:pPr>
        <w:rPr>
          <w:rFonts w:ascii="Arial" w:hAnsi="Arial" w:cs="Arial"/>
          <w:sz w:val="24"/>
          <w:szCs w:val="24"/>
        </w:rPr>
      </w:pPr>
      <w:r>
        <w:rPr>
          <w:rFonts w:ascii="Arial" w:hAnsi="Arial" w:cs="Arial"/>
          <w:b/>
          <w:bCs/>
          <w:sz w:val="24"/>
          <w:szCs w:val="24"/>
        </w:rPr>
        <w:br/>
      </w:r>
      <w:r>
        <w:rPr>
          <w:rFonts w:ascii="Arial" w:hAnsi="Arial" w:cs="Arial"/>
          <w:b/>
          <w:bCs/>
          <w:sz w:val="24"/>
          <w:szCs w:val="24"/>
        </w:rPr>
        <w:br/>
        <w:t xml:space="preserve">FOR IMMEDIATE RELEASE                </w:t>
      </w:r>
      <w:r>
        <w:rPr>
          <w:rFonts w:ascii="Arial" w:hAnsi="Arial" w:cs="Arial"/>
          <w:sz w:val="24"/>
          <w:szCs w:val="24"/>
        </w:rPr>
        <w:t xml:space="preserve">                                                         </w:t>
      </w:r>
      <w:r>
        <w:rPr>
          <w:rFonts w:ascii="Arial" w:hAnsi="Arial" w:cs="Arial"/>
          <w:sz w:val="24"/>
          <w:szCs w:val="24"/>
        </w:rPr>
        <w:tab/>
        <w:t xml:space="preserve"> March 5, 2012                                                               </w:t>
      </w:r>
      <w:r>
        <w:rPr>
          <w:rFonts w:ascii="Arial" w:hAnsi="Arial" w:cs="Arial"/>
          <w:b/>
          <w:bCs/>
          <w:sz w:val="24"/>
          <w:szCs w:val="24"/>
        </w:rPr>
        <w:t>Contact:</w:t>
      </w:r>
      <w:r>
        <w:rPr>
          <w:rFonts w:ascii="Arial" w:hAnsi="Arial" w:cs="Arial"/>
          <w:sz w:val="24"/>
          <w:szCs w:val="24"/>
        </w:rPr>
        <w:t>  Charles Acquard</w:t>
      </w:r>
    </w:p>
    <w:p w:rsidR="00484A88" w:rsidRDefault="00484A88" w:rsidP="00484A8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301-589-6313</w:t>
      </w:r>
    </w:p>
    <w:p w:rsidR="00484A88" w:rsidRDefault="00484A88" w:rsidP="00484A88">
      <w:pPr>
        <w:rPr>
          <w:rFonts w:ascii="Arial" w:hAnsi="Arial" w:cs="Arial"/>
          <w:sz w:val="24"/>
          <w:szCs w:val="24"/>
        </w:rPr>
      </w:pPr>
      <w:r>
        <w:rPr>
          <w:rFonts w:ascii="Arial" w:hAnsi="Arial" w:cs="Arial"/>
          <w:sz w:val="24"/>
          <w:szCs w:val="24"/>
        </w:rPr>
        <w:t xml:space="preserve">                                                                                                       </w:t>
      </w:r>
      <w:hyperlink r:id="rId6" w:history="1">
        <w:r>
          <w:rPr>
            <w:rStyle w:val="Hyperlink"/>
            <w:rFonts w:ascii="Arial" w:hAnsi="Arial" w:cs="Arial"/>
            <w:sz w:val="24"/>
            <w:szCs w:val="24"/>
          </w:rPr>
          <w:t>charlie@nasuca.org</w:t>
        </w:r>
      </w:hyperlink>
    </w:p>
    <w:p w:rsidR="00484A88" w:rsidRDefault="00484A88" w:rsidP="00484A88"/>
    <w:p w:rsidR="00484A88" w:rsidRDefault="00484A88" w:rsidP="00484A88">
      <w:pPr>
        <w:jc w:val="center"/>
        <w:rPr>
          <w:rFonts w:ascii="Arial" w:hAnsi="Arial" w:cs="Arial"/>
          <w:b/>
          <w:bCs/>
          <w:sz w:val="28"/>
          <w:szCs w:val="28"/>
        </w:rPr>
      </w:pPr>
      <w:r>
        <w:rPr>
          <w:rFonts w:ascii="Arial" w:hAnsi="Arial" w:cs="Arial"/>
          <w:b/>
          <w:bCs/>
          <w:sz w:val="28"/>
          <w:szCs w:val="28"/>
        </w:rPr>
        <w:t>NASUCA Calls on FERC to Modify Transmission Policies</w:t>
      </w:r>
    </w:p>
    <w:p w:rsidR="00484A88" w:rsidRDefault="00484A88" w:rsidP="00484A88">
      <w:pPr>
        <w:jc w:val="center"/>
        <w:rPr>
          <w:rFonts w:ascii="Arial" w:hAnsi="Arial" w:cs="Arial"/>
          <w:b/>
          <w:bCs/>
          <w:sz w:val="28"/>
          <w:szCs w:val="28"/>
        </w:rPr>
      </w:pPr>
    </w:p>
    <w:p w:rsidR="00484A88" w:rsidRDefault="00484A88" w:rsidP="00484A88">
      <w:pPr>
        <w:rPr>
          <w:rFonts w:ascii="Arial" w:hAnsi="Arial" w:cs="Arial"/>
          <w:sz w:val="24"/>
          <w:szCs w:val="24"/>
        </w:rPr>
      </w:pPr>
      <w:r>
        <w:rPr>
          <w:rFonts w:ascii="Arial" w:hAnsi="Arial" w:cs="Arial"/>
          <w:sz w:val="24"/>
          <w:szCs w:val="24"/>
        </w:rPr>
        <w:t>Washington, D.C. -- The National Association of State Utility Consumer Advocates (NASUCA) today called on the Federal Energy Regulatory Commission (FERC) to modify its transmission policies to "better protect consumers and advance policy goals."</w:t>
      </w:r>
    </w:p>
    <w:p w:rsidR="00484A88" w:rsidRDefault="00484A88" w:rsidP="00484A88">
      <w:pPr>
        <w:rPr>
          <w:rFonts w:ascii="Arial" w:hAnsi="Arial" w:cs="Arial"/>
          <w:sz w:val="24"/>
          <w:szCs w:val="24"/>
        </w:rPr>
      </w:pPr>
    </w:p>
    <w:p w:rsidR="00484A88" w:rsidRDefault="00484A88" w:rsidP="00484A88">
      <w:pPr>
        <w:jc w:val="both"/>
        <w:rPr>
          <w:rFonts w:ascii="Arial" w:hAnsi="Arial" w:cs="Arial"/>
          <w:sz w:val="24"/>
          <w:szCs w:val="24"/>
        </w:rPr>
      </w:pPr>
      <w:r>
        <w:rPr>
          <w:rFonts w:ascii="Arial" w:hAnsi="Arial" w:cs="Arial"/>
          <w:sz w:val="24"/>
          <w:szCs w:val="24"/>
        </w:rPr>
        <w:t>NASUCA, joining with dozens of consumer, environmental, utility, Attorneys General, and state regulatory representatives, filed a letter with the FERC saying that the "current incentive structure places unwarranted burdens on consumers, and diverts ratepayer capital away from other important electric infrastructure investments. "  The letter is attached.</w:t>
      </w:r>
    </w:p>
    <w:p w:rsidR="00484A88" w:rsidRDefault="00484A88" w:rsidP="00484A88">
      <w:pPr>
        <w:rPr>
          <w:rFonts w:ascii="Arial" w:hAnsi="Arial" w:cs="Arial"/>
          <w:sz w:val="24"/>
          <w:szCs w:val="24"/>
        </w:rPr>
      </w:pPr>
    </w:p>
    <w:p w:rsidR="00484A88" w:rsidRDefault="00484A88" w:rsidP="00484A88">
      <w:pPr>
        <w:rPr>
          <w:rFonts w:ascii="Arial" w:hAnsi="Arial" w:cs="Arial"/>
          <w:sz w:val="24"/>
          <w:szCs w:val="24"/>
        </w:rPr>
      </w:pPr>
      <w:r>
        <w:rPr>
          <w:rFonts w:ascii="Arial" w:hAnsi="Arial" w:cs="Arial"/>
          <w:sz w:val="24"/>
          <w:szCs w:val="24"/>
        </w:rPr>
        <w:t>The letter encourages FERC to:</w:t>
      </w:r>
    </w:p>
    <w:p w:rsidR="00484A88" w:rsidRDefault="00484A88" w:rsidP="00484A88">
      <w:pPr>
        <w:rPr>
          <w:rFonts w:ascii="Arial" w:hAnsi="Arial" w:cs="Arial"/>
          <w:sz w:val="24"/>
          <w:szCs w:val="24"/>
        </w:rPr>
      </w:pPr>
    </w:p>
    <w:p w:rsidR="00484A88" w:rsidRDefault="00484A88" w:rsidP="00484A88">
      <w:pPr>
        <w:numPr>
          <w:ilvl w:val="0"/>
          <w:numId w:val="1"/>
        </w:numPr>
        <w:jc w:val="both"/>
        <w:rPr>
          <w:rFonts w:ascii="Arial" w:eastAsia="Times New Roman" w:hAnsi="Arial" w:cs="Arial"/>
          <w:sz w:val="24"/>
          <w:szCs w:val="24"/>
        </w:rPr>
      </w:pPr>
      <w:r>
        <w:rPr>
          <w:rFonts w:ascii="Arial" w:eastAsia="Times New Roman" w:hAnsi="Arial" w:cs="Arial"/>
          <w:sz w:val="24"/>
          <w:szCs w:val="24"/>
        </w:rPr>
        <w:t>grant risk-reducing incentives first and award above-cost incentives rarely;</w:t>
      </w:r>
    </w:p>
    <w:p w:rsidR="00484A88" w:rsidRDefault="00484A88" w:rsidP="00484A88">
      <w:pPr>
        <w:numPr>
          <w:ilvl w:val="0"/>
          <w:numId w:val="1"/>
        </w:numPr>
        <w:jc w:val="both"/>
        <w:rPr>
          <w:rFonts w:ascii="Arial" w:eastAsia="Times New Roman" w:hAnsi="Arial" w:cs="Arial"/>
          <w:sz w:val="24"/>
          <w:szCs w:val="24"/>
        </w:rPr>
      </w:pPr>
      <w:r>
        <w:rPr>
          <w:rFonts w:ascii="Arial" w:eastAsia="Times New Roman" w:hAnsi="Arial" w:cs="Arial"/>
          <w:sz w:val="24"/>
          <w:szCs w:val="24"/>
        </w:rPr>
        <w:t>not provide incentives to projects that transmission providers are already obligated to build;</w:t>
      </w:r>
    </w:p>
    <w:p w:rsidR="00484A88" w:rsidRDefault="00484A88" w:rsidP="00484A88">
      <w:pPr>
        <w:numPr>
          <w:ilvl w:val="0"/>
          <w:numId w:val="1"/>
        </w:numPr>
        <w:jc w:val="both"/>
        <w:rPr>
          <w:rFonts w:ascii="Arial" w:eastAsia="Times New Roman" w:hAnsi="Arial" w:cs="Arial"/>
          <w:sz w:val="24"/>
          <w:szCs w:val="24"/>
        </w:rPr>
      </w:pPr>
      <w:r>
        <w:rPr>
          <w:rFonts w:ascii="Arial" w:eastAsia="Times New Roman" w:hAnsi="Arial" w:cs="Arial"/>
          <w:sz w:val="24"/>
          <w:szCs w:val="24"/>
        </w:rPr>
        <w:t>not incent expensive solutions when lower-cost alternatives are available;</w:t>
      </w:r>
    </w:p>
    <w:p w:rsidR="00484A88" w:rsidRDefault="00484A88" w:rsidP="00484A88">
      <w:pPr>
        <w:numPr>
          <w:ilvl w:val="0"/>
          <w:numId w:val="1"/>
        </w:numPr>
        <w:jc w:val="both"/>
        <w:rPr>
          <w:rFonts w:ascii="Arial" w:eastAsia="Times New Roman" w:hAnsi="Arial" w:cs="Arial"/>
          <w:sz w:val="24"/>
          <w:szCs w:val="24"/>
        </w:rPr>
      </w:pPr>
      <w:r>
        <w:rPr>
          <w:rFonts w:ascii="Arial" w:eastAsia="Times New Roman" w:hAnsi="Arial" w:cs="Arial"/>
          <w:sz w:val="24"/>
          <w:szCs w:val="24"/>
        </w:rPr>
        <w:t>not base eligibility for above-cost rewards on project scale;</w:t>
      </w:r>
    </w:p>
    <w:p w:rsidR="00484A88" w:rsidRDefault="00484A88" w:rsidP="00484A88">
      <w:pPr>
        <w:keepNext/>
        <w:numPr>
          <w:ilvl w:val="0"/>
          <w:numId w:val="1"/>
        </w:numPr>
        <w:jc w:val="both"/>
        <w:rPr>
          <w:rFonts w:ascii="Arial" w:eastAsia="Times New Roman" w:hAnsi="Arial" w:cs="Arial"/>
          <w:sz w:val="24"/>
          <w:szCs w:val="24"/>
        </w:rPr>
      </w:pPr>
      <w:r>
        <w:rPr>
          <w:rFonts w:ascii="Arial" w:eastAsia="Times New Roman" w:hAnsi="Arial" w:cs="Arial"/>
          <w:sz w:val="24"/>
          <w:szCs w:val="24"/>
        </w:rPr>
        <w:t>not apply ROE adders to cost overruns;</w:t>
      </w:r>
    </w:p>
    <w:p w:rsidR="00484A88" w:rsidRDefault="00484A88" w:rsidP="00484A88">
      <w:pPr>
        <w:keepNext/>
        <w:numPr>
          <w:ilvl w:val="0"/>
          <w:numId w:val="1"/>
        </w:numPr>
        <w:jc w:val="both"/>
        <w:rPr>
          <w:rFonts w:ascii="Arial" w:eastAsia="Times New Roman" w:hAnsi="Arial" w:cs="Arial"/>
          <w:sz w:val="24"/>
          <w:szCs w:val="24"/>
        </w:rPr>
      </w:pPr>
      <w:r>
        <w:rPr>
          <w:rFonts w:ascii="Arial" w:eastAsia="Times New Roman" w:hAnsi="Arial" w:cs="Arial"/>
          <w:sz w:val="24"/>
          <w:szCs w:val="24"/>
        </w:rPr>
        <w:t>not apply ROE adders to abandoned plant amounts;</w:t>
      </w:r>
    </w:p>
    <w:p w:rsidR="00484A88" w:rsidRDefault="00484A88" w:rsidP="00484A88">
      <w:pPr>
        <w:numPr>
          <w:ilvl w:val="0"/>
          <w:numId w:val="1"/>
        </w:numPr>
        <w:jc w:val="both"/>
        <w:rPr>
          <w:rFonts w:ascii="Arial" w:eastAsia="Times New Roman" w:hAnsi="Arial" w:cs="Arial"/>
          <w:sz w:val="24"/>
          <w:szCs w:val="24"/>
        </w:rPr>
      </w:pPr>
      <w:r>
        <w:rPr>
          <w:rFonts w:ascii="Arial" w:eastAsia="Times New Roman" w:hAnsi="Arial" w:cs="Arial"/>
          <w:sz w:val="24"/>
          <w:szCs w:val="24"/>
        </w:rPr>
        <w:t>identify types of projects that are presumptively ineligible for incentives; and</w:t>
      </w:r>
    </w:p>
    <w:p w:rsidR="00484A88" w:rsidRDefault="00484A88" w:rsidP="00484A88">
      <w:pPr>
        <w:numPr>
          <w:ilvl w:val="0"/>
          <w:numId w:val="1"/>
        </w:numPr>
        <w:rPr>
          <w:rFonts w:ascii="Arial" w:eastAsia="Times New Roman" w:hAnsi="Arial" w:cs="Arial"/>
          <w:sz w:val="24"/>
          <w:szCs w:val="24"/>
        </w:rPr>
      </w:pPr>
      <w:r>
        <w:rPr>
          <w:rFonts w:ascii="Arial" w:eastAsia="Times New Roman" w:hAnsi="Arial" w:cs="Arial"/>
          <w:sz w:val="24"/>
          <w:szCs w:val="24"/>
        </w:rPr>
        <w:t>make the price of incentives transparent.</w:t>
      </w:r>
    </w:p>
    <w:p w:rsidR="00484A88" w:rsidRDefault="00484A88" w:rsidP="00484A88">
      <w:pPr>
        <w:jc w:val="both"/>
        <w:rPr>
          <w:rFonts w:ascii="Arial" w:hAnsi="Arial" w:cs="Arial"/>
          <w:sz w:val="24"/>
          <w:szCs w:val="24"/>
        </w:rPr>
      </w:pPr>
    </w:p>
    <w:p w:rsidR="00484A88" w:rsidRDefault="00484A88" w:rsidP="00484A88">
      <w:pPr>
        <w:jc w:val="both"/>
        <w:rPr>
          <w:rFonts w:ascii="Arial" w:hAnsi="Arial" w:cs="Arial"/>
          <w:sz w:val="24"/>
          <w:szCs w:val="24"/>
        </w:rPr>
      </w:pPr>
    </w:p>
    <w:p w:rsidR="00484A88" w:rsidRDefault="00484A88" w:rsidP="00484A88">
      <w:pPr>
        <w:autoSpaceDE w:val="0"/>
        <w:autoSpaceDN w:val="0"/>
        <w:rPr>
          <w:rFonts w:ascii="Arial" w:hAnsi="Arial" w:cs="Arial"/>
          <w:sz w:val="24"/>
          <w:szCs w:val="24"/>
        </w:rPr>
      </w:pPr>
      <w:r>
        <w:rPr>
          <w:rFonts w:ascii="Arial" w:hAnsi="Arial" w:cs="Arial"/>
          <w:sz w:val="24"/>
          <w:szCs w:val="24"/>
        </w:rPr>
        <w:t>NASUCA is a non-profit, national organization of more than 40 state offices designated to represent consumers in state and federal utility proceedings. NASUCA regularly participates in proceedings before the Federal Energy Regulatory Commission, the Federal Communications Commission, and other federal regulatory agencies.</w:t>
      </w:r>
    </w:p>
    <w:p w:rsidR="00484A88" w:rsidRDefault="00484A88" w:rsidP="00484A88">
      <w:pPr>
        <w:ind w:left="720"/>
        <w:rPr>
          <w:rFonts w:ascii="Arial" w:hAnsi="Arial" w:cs="Arial"/>
          <w:b/>
          <w:bCs/>
        </w:rPr>
      </w:pPr>
    </w:p>
    <w:p w:rsidR="00484A88" w:rsidRDefault="00484A88" w:rsidP="00484A88">
      <w:pPr>
        <w:jc w:val="center"/>
        <w:rPr>
          <w:rFonts w:ascii="Arial" w:hAnsi="Arial" w:cs="Arial"/>
          <w:sz w:val="24"/>
          <w:szCs w:val="24"/>
        </w:rPr>
      </w:pPr>
      <w:r>
        <w:rPr>
          <w:rFonts w:ascii="Arial" w:hAnsi="Arial" w:cs="Arial"/>
          <w:sz w:val="24"/>
          <w:szCs w:val="24"/>
        </w:rPr>
        <w:t>-30-</w:t>
      </w:r>
    </w:p>
    <w:p w:rsidR="00C01E86" w:rsidRDefault="00C01E86"/>
    <w:sectPr w:rsidR="00C01E86" w:rsidSect="00C01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0D6A"/>
    <w:multiLevelType w:val="hybridMultilevel"/>
    <w:tmpl w:val="B7DCE8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484A88"/>
    <w:rsid w:val="00484A88"/>
    <w:rsid w:val="005272A3"/>
    <w:rsid w:val="00C0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8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A88"/>
    <w:rPr>
      <w:color w:val="0000FF"/>
      <w:u w:val="single"/>
    </w:rPr>
  </w:style>
  <w:style w:type="paragraph" w:styleId="BalloonText">
    <w:name w:val="Balloon Text"/>
    <w:basedOn w:val="Normal"/>
    <w:link w:val="BalloonTextChar"/>
    <w:uiPriority w:val="99"/>
    <w:semiHidden/>
    <w:unhideWhenUsed/>
    <w:rsid w:val="00484A88"/>
    <w:rPr>
      <w:rFonts w:ascii="Tahoma" w:hAnsi="Tahoma" w:cs="Tahoma"/>
      <w:sz w:val="16"/>
      <w:szCs w:val="16"/>
    </w:rPr>
  </w:style>
  <w:style w:type="character" w:customStyle="1" w:styleId="BalloonTextChar">
    <w:name w:val="Balloon Text Char"/>
    <w:basedOn w:val="DefaultParagraphFont"/>
    <w:link w:val="BalloonText"/>
    <w:uiPriority w:val="99"/>
    <w:semiHidden/>
    <w:rsid w:val="00484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6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arlie@nasu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1644</Characters>
  <Application>Microsoft Office Word</Application>
  <DocSecurity>0</DocSecurity>
  <Lines>13</Lines>
  <Paragraphs>3</Paragraphs>
  <ScaleCrop>false</ScaleCrop>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Hasslup</dc:creator>
  <cp:lastModifiedBy>Nicole Hasslup</cp:lastModifiedBy>
  <cp:revision>1</cp:revision>
  <dcterms:created xsi:type="dcterms:W3CDTF">2012-03-06T02:34:00Z</dcterms:created>
  <dcterms:modified xsi:type="dcterms:W3CDTF">2012-03-06T02:39:00Z</dcterms:modified>
</cp:coreProperties>
</file>